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916-10q_bluejay.htm"/>
      <w:bookmarkStart w:id="1" w:name="ksea029991610q_bluejay"/>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quarterly period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 to__________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001-41031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Bluejay Diagnostics,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28" w:type="dxa"/>
          <w:right w:w="0" w:type="dxa"/>
        </w:tblCellMar>
      </w:tblPr>
      <w:tblGrid>
        <w:gridCol w:w="2930"/>
        <w:gridCol w:w="60"/>
        <w:gridCol w:w="1775"/>
      </w:tblGrid>
      <w:tr>
        <w:trPr/>
        <w:tc>
          <w:tcPr>
            <w:tcW w:w="293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sz w:val="20"/>
              </w:rPr>
            </w:pPr>
            <w:r>
              <w:rPr>
                <w:b/>
                <w:sz w:val="20"/>
              </w:rPr>
              <w:t>47-3552922</w:t>
            </w:r>
          </w:p>
        </w:tc>
      </w:tr>
      <w:tr>
        <w:trPr/>
        <w:tc>
          <w:tcPr>
            <w:tcW w:w="2930"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155" w:type="dxa"/>
        <w:jc w:val="left"/>
        <w:tblInd w:w="0" w:type="dxa"/>
        <w:tblLayout w:type="fixed"/>
        <w:tblCellMar>
          <w:top w:w="0" w:type="dxa"/>
          <w:left w:w="0" w:type="dxa"/>
          <w:bottom w:w="28" w:type="dxa"/>
          <w:right w:w="0" w:type="dxa"/>
        </w:tblCellMar>
      </w:tblPr>
      <w:tblGrid>
        <w:gridCol w:w="4175"/>
        <w:gridCol w:w="60"/>
        <w:gridCol w:w="920"/>
      </w:tblGrid>
      <w:tr>
        <w:trPr/>
        <w:tc>
          <w:tcPr>
            <w:tcW w:w="4175" w:type="dxa"/>
            <w:tcBorders>
              <w:bottom w:val="single" w:sz="12" w:space="0" w:color="000000"/>
            </w:tcBorders>
            <w:vAlign w:val="center"/>
          </w:tcPr>
          <w:p>
            <w:pPr>
              <w:pStyle w:val="TableContents"/>
              <w:bidi w:val="0"/>
              <w:spacing w:before="0" w:after="283"/>
              <w:jc w:val="center"/>
              <w:rPr>
                <w:b/>
                <w:sz w:val="20"/>
              </w:rPr>
            </w:pPr>
            <w:r>
              <w:rPr>
                <w:b/>
                <w:sz w:val="20"/>
              </w:rPr>
              <w:t xml:space="preserve">360 Massachusetts Avenue, Suite 203, Acton, MA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r>
              <w:rPr>
                <w:b/>
                <w:sz w:val="20"/>
              </w:rPr>
              <w:t>01720</w:t>
            </w:r>
          </w:p>
        </w:tc>
      </w:tr>
      <w:tr>
        <w:trPr/>
        <w:tc>
          <w:tcPr>
            <w:tcW w:w="41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(844) 327-7078</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if any, every Interactive Data File required to be submitted pursuant to Rule 405 of Regulation S-T during the preceding 12 months (or for such shorter period that the registrant was required to submit such files).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ind w:left="0" w:right="0" w:hanging="200"/>
              <w:jc w:val="left"/>
              <w:rPr>
                <w:sz w:val="20"/>
              </w:rPr>
            </w:pPr>
            <w:r>
              <w:rPr>
                <w:sz w:val="20"/>
              </w:rPr>
              <w:t>Large Accelerated Filer</w:t>
            </w:r>
          </w:p>
        </w:tc>
        <w:tc>
          <w:tcPr>
            <w:tcW w:w="230" w:type="dxa"/>
            <w:tcBorders/>
            <w:vAlign w:val="center"/>
          </w:tcPr>
          <w:p>
            <w:pPr>
              <w:pStyle w:val="TableContents"/>
              <w:bidi w:val="0"/>
              <w:spacing w:before="0" w:after="283"/>
              <w:ind w:left="0" w:right="0" w:hanging="200"/>
              <w:jc w:val="left"/>
              <w:rPr/>
            </w:pPr>
            <w:r>
              <w:rPr/>
              <w:t>☐</w:t>
            </w:r>
          </w:p>
        </w:tc>
        <w:tc>
          <w:tcPr>
            <w:tcW w:w="2345" w:type="dxa"/>
            <w:tcBorders/>
            <w:vAlign w:val="center"/>
          </w:tcPr>
          <w:p>
            <w:pPr>
              <w:pStyle w:val="TableContents"/>
              <w:bidi w:val="0"/>
              <w:spacing w:before="0" w:after="283"/>
              <w:ind w:left="0" w:right="0" w:hanging="200"/>
              <w:jc w:val="left"/>
              <w:rPr>
                <w:sz w:val="20"/>
              </w:rPr>
            </w:pPr>
            <w:r>
              <w:rPr>
                <w:sz w:val="20"/>
              </w:rPr>
              <w:t>Accelerated Filer</w:t>
            </w:r>
          </w:p>
        </w:tc>
        <w:tc>
          <w:tcPr>
            <w:tcW w:w="245" w:type="dxa"/>
            <w:tcBorders/>
            <w:vAlign w:val="center"/>
          </w:tcPr>
          <w:p>
            <w:pPr>
              <w:pStyle w:val="TableContents"/>
              <w:bidi w:val="0"/>
              <w:spacing w:before="0" w:after="283"/>
              <w:ind w:left="0" w:right="0" w:hanging="200"/>
              <w:jc w:val="left"/>
              <w:rPr/>
            </w:pPr>
            <w:r>
              <w:rPr/>
              <w:t>☐</w:t>
            </w:r>
          </w:p>
        </w:tc>
      </w:tr>
      <w:tr>
        <w:trPr/>
        <w:tc>
          <w:tcPr>
            <w:tcW w:w="1925" w:type="dxa"/>
            <w:tcBorders/>
            <w:vAlign w:val="center"/>
          </w:tcPr>
          <w:p>
            <w:pPr>
              <w:pStyle w:val="TableContents"/>
              <w:bidi w:val="0"/>
              <w:spacing w:before="0" w:after="283"/>
              <w:ind w:left="0" w:right="0" w:hanging="200"/>
              <w:jc w:val="left"/>
              <w:rPr>
                <w:sz w:val="20"/>
              </w:rPr>
            </w:pPr>
            <w:r>
              <w:rPr>
                <w:sz w:val="20"/>
              </w:rPr>
              <w:t xml:space="preserve">Non-Accelerated Filer </w:t>
            </w:r>
          </w:p>
        </w:tc>
        <w:tc>
          <w:tcPr>
            <w:tcW w:w="230" w:type="dxa"/>
            <w:tcBorders/>
            <w:vAlign w:val="center"/>
          </w:tcPr>
          <w:p>
            <w:pPr>
              <w:pStyle w:val="TableContents"/>
              <w:bidi w:val="0"/>
              <w:spacing w:before="0" w:after="283"/>
              <w:ind w:left="0" w:right="0" w:hanging="200"/>
              <w:jc w:val="left"/>
              <w:rPr/>
            </w:pPr>
            <w:r>
              <w:rPr/>
              <w:t>☒</w:t>
            </w:r>
          </w:p>
        </w:tc>
        <w:tc>
          <w:tcPr>
            <w:tcW w:w="2345" w:type="dxa"/>
            <w:tcBorders/>
            <w:vAlign w:val="center"/>
          </w:tcPr>
          <w:p>
            <w:pPr>
              <w:pStyle w:val="TableContents"/>
              <w:bidi w:val="0"/>
              <w:spacing w:before="0" w:after="283"/>
              <w:ind w:left="0" w:right="0" w:hanging="200"/>
              <w:jc w:val="left"/>
              <w:rPr>
                <w:sz w:val="20"/>
              </w:rPr>
            </w:pPr>
            <w:r>
              <w:rPr>
                <w:sz w:val="20"/>
              </w:rPr>
              <w:t>Smaller Reporting Company</w:t>
            </w:r>
          </w:p>
        </w:tc>
        <w:tc>
          <w:tcPr>
            <w:tcW w:w="245" w:type="dxa"/>
            <w:tcBorders/>
            <w:vAlign w:val="center"/>
          </w:tcPr>
          <w:p>
            <w:pPr>
              <w:pStyle w:val="TableContents"/>
              <w:bidi w:val="0"/>
              <w:spacing w:before="0" w:after="283"/>
              <w:ind w:left="0" w:right="0" w:hanging="200"/>
              <w:jc w:val="left"/>
              <w:rPr/>
            </w:pPr>
            <w:r>
              <w:rPr/>
              <w:t>☒</w:t>
            </w:r>
          </w:p>
        </w:tc>
      </w:tr>
      <w:tr>
        <w:trPr/>
        <w:tc>
          <w:tcPr>
            <w:tcW w:w="2155" w:type="dxa"/>
            <w:gridSpan w:val="2"/>
            <w:tcBorders/>
            <w:vAlign w:val="center"/>
          </w:tcPr>
          <w:p>
            <w:pPr>
              <w:pStyle w:val="TableContents"/>
              <w:bidi w:val="0"/>
              <w:spacing w:before="0" w:after="283"/>
              <w:ind w:left="0" w:right="0" w:hanging="200"/>
              <w:jc w:val="left"/>
              <w:rPr/>
            </w:pPr>
            <w:r>
              <w:rPr/>
              <w:t> </w:t>
            </w:r>
          </w:p>
        </w:tc>
        <w:tc>
          <w:tcPr>
            <w:tcW w:w="2345" w:type="dxa"/>
            <w:tcBorders/>
            <w:vAlign w:val="center"/>
          </w:tcPr>
          <w:p>
            <w:pPr>
              <w:pStyle w:val="TableContents"/>
              <w:bidi w:val="0"/>
              <w:spacing w:before="0" w:after="283"/>
              <w:ind w:left="0" w:right="0" w:hanging="200"/>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BJDX</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 Nasdaq Capital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 had 4,468,051 shares of common stock outstanding at August 7,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9"/>
        <w:gridCol w:w="9130"/>
        <w:gridCol w:w="456"/>
      </w:tblGrid>
      <w:tr>
        <w:trPr/>
        <w:tc>
          <w:tcPr>
            <w:tcW w:w="619" w:type="dxa"/>
            <w:tcBorders/>
            <w:vAlign w:val="center"/>
          </w:tcPr>
          <w:p>
            <w:pPr>
              <w:pStyle w:val="TableContents"/>
              <w:bidi w:val="0"/>
              <w:spacing w:before="0" w:after="283"/>
              <w:ind w:left="0" w:right="0" w:hanging="180"/>
              <w:jc w:val="left"/>
              <w:rPr/>
            </w:pPr>
            <w:r>
              <w:rPr/>
              <w:t> </w:t>
            </w:r>
          </w:p>
        </w:tc>
        <w:tc>
          <w:tcPr>
            <w:tcW w:w="9130" w:type="dxa"/>
            <w:tcBorders/>
            <w:vAlign w:val="center"/>
          </w:tcPr>
          <w:p>
            <w:pPr>
              <w:pStyle w:val="TableContents"/>
              <w:bidi w:val="0"/>
              <w:spacing w:before="0" w:after="283"/>
              <w:jc w:val="left"/>
              <w:rPr/>
            </w:pPr>
            <w:r>
              <w:rPr/>
              <w:t> </w:t>
            </w:r>
          </w:p>
        </w:tc>
        <w:tc>
          <w:tcPr>
            <w:tcW w:w="456"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9749" w:type="dxa"/>
            <w:gridSpan w:val="2"/>
            <w:tcBorders/>
            <w:shd w:fill="CCEEFF" w:val="clear"/>
            <w:vAlign w:val="center"/>
          </w:tcPr>
          <w:p>
            <w:pPr>
              <w:pStyle w:val="TableContents"/>
              <w:bidi w:val="0"/>
              <w:spacing w:before="0" w:after="283"/>
              <w:jc w:val="left"/>
              <w:rPr/>
            </w:pPr>
            <w:hyperlink w:anchor="a_001">
              <w:r>
                <w:rPr>
                  <w:rStyle w:val="InternetLink"/>
                  <w:b/>
                  <w:sz w:val="20"/>
                </w:rPr>
                <w:t>PART I FINANCIAL INFORMATION</w:t>
              </w:r>
            </w:hyperlink>
          </w:p>
        </w:tc>
        <w:tc>
          <w:tcPr>
            <w:tcW w:w="456" w:type="dxa"/>
            <w:tcBorders/>
            <w:shd w:fill="CCEEFF" w:val="clear"/>
            <w:vAlign w:val="center"/>
          </w:tcPr>
          <w:p>
            <w:pPr>
              <w:pStyle w:val="TableContents"/>
              <w:bidi w:val="0"/>
              <w:spacing w:before="0" w:after="283"/>
              <w:jc w:val="center"/>
              <w:rPr/>
            </w:pPr>
            <w:r>
              <w:rPr/>
              <w:t> </w:t>
            </w:r>
          </w:p>
        </w:tc>
      </w:tr>
      <w:tr>
        <w:trPr/>
        <w:tc>
          <w:tcPr>
            <w:tcW w:w="619" w:type="dxa"/>
            <w:tcBorders/>
            <w:vAlign w:val="center"/>
          </w:tcPr>
          <w:p>
            <w:pPr>
              <w:pStyle w:val="TableContents"/>
              <w:bidi w:val="0"/>
              <w:spacing w:before="0" w:after="283"/>
              <w:ind w:left="0" w:right="0" w:hanging="180"/>
              <w:jc w:val="left"/>
              <w:rPr/>
            </w:pPr>
            <w:r>
              <w:rPr/>
              <w:t> </w:t>
            </w:r>
          </w:p>
        </w:tc>
        <w:tc>
          <w:tcPr>
            <w:tcW w:w="913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19" w:type="dxa"/>
            <w:tcBorders/>
            <w:shd w:fill="CCEEFF" w:val="clear"/>
            <w:vAlign w:val="center"/>
          </w:tcPr>
          <w:p>
            <w:pPr>
              <w:pStyle w:val="TableContents"/>
              <w:bidi w:val="0"/>
              <w:spacing w:before="0" w:after="283"/>
              <w:ind w:left="0" w:right="0" w:hanging="180"/>
              <w:jc w:val="left"/>
              <w:rPr>
                <w:sz w:val="20"/>
              </w:rPr>
            </w:pPr>
            <w:r>
              <w:rPr>
                <w:sz w:val="20"/>
              </w:rPr>
              <w:t>Item 1.</w:t>
            </w:r>
          </w:p>
        </w:tc>
        <w:tc>
          <w:tcPr>
            <w:tcW w:w="9130" w:type="dxa"/>
            <w:tcBorders/>
            <w:shd w:fill="CCEEFF" w:val="clear"/>
            <w:vAlign w:val="center"/>
          </w:tcPr>
          <w:p>
            <w:pPr>
              <w:pStyle w:val="TableContents"/>
              <w:bidi w:val="0"/>
              <w:spacing w:before="0" w:after="283"/>
              <w:jc w:val="left"/>
              <w:rPr/>
            </w:pPr>
            <w:hyperlink w:anchor="a_002">
              <w:r>
                <w:rPr>
                  <w:rStyle w:val="InternetLink"/>
                  <w:b/>
                  <w:sz w:val="20"/>
                </w:rPr>
                <w:t>Condensed Consolidated Financial Statements (Unaudited)</w:t>
              </w:r>
            </w:hyperlink>
          </w:p>
        </w:tc>
        <w:tc>
          <w:tcPr>
            <w:tcW w:w="456" w:type="dxa"/>
            <w:tcBorders/>
            <w:shd w:fill="CCEEFF" w:val="clear"/>
            <w:vAlign w:val="center"/>
          </w:tcPr>
          <w:p>
            <w:pPr>
              <w:pStyle w:val="TableContents"/>
              <w:bidi w:val="0"/>
              <w:spacing w:before="0" w:after="283"/>
              <w:jc w:val="center"/>
              <w:rPr>
                <w:sz w:val="20"/>
              </w:rPr>
            </w:pPr>
            <w:r>
              <w:rPr>
                <w:sz w:val="20"/>
              </w:rPr>
              <w:t>1</w:t>
            </w:r>
          </w:p>
        </w:tc>
      </w:tr>
      <w:tr>
        <w:trPr/>
        <w:tc>
          <w:tcPr>
            <w:tcW w:w="619" w:type="dxa"/>
            <w:tcBorders/>
            <w:vAlign w:val="center"/>
          </w:tcPr>
          <w:p>
            <w:pPr>
              <w:pStyle w:val="TableContents"/>
              <w:bidi w:val="0"/>
              <w:spacing w:before="0" w:after="283"/>
              <w:ind w:left="0" w:right="0" w:hanging="180"/>
              <w:jc w:val="left"/>
              <w:rPr/>
            </w:pPr>
            <w:r>
              <w:rPr/>
              <w:t> </w:t>
            </w:r>
          </w:p>
        </w:tc>
        <w:tc>
          <w:tcPr>
            <w:tcW w:w="9130" w:type="dxa"/>
            <w:tcBorders/>
            <w:vAlign w:val="center"/>
          </w:tcPr>
          <w:p>
            <w:pPr>
              <w:pStyle w:val="TableContents"/>
              <w:bidi w:val="0"/>
              <w:spacing w:before="0" w:after="283"/>
              <w:jc w:val="left"/>
              <w:rPr/>
            </w:pPr>
            <w:hyperlink w:anchor="a_003">
              <w:r>
                <w:rPr>
                  <w:rStyle w:val="InternetLink"/>
                  <w:b/>
                  <w:sz w:val="20"/>
                </w:rPr>
                <w:t>Condensed Consolidated Balance Sheets as of June 30, 2026 and December 31, 2025</w:t>
              </w:r>
            </w:hyperlink>
          </w:p>
        </w:tc>
        <w:tc>
          <w:tcPr>
            <w:tcW w:w="456" w:type="dxa"/>
            <w:tcBorders/>
            <w:vAlign w:val="center"/>
          </w:tcPr>
          <w:p>
            <w:pPr>
              <w:pStyle w:val="TableContents"/>
              <w:bidi w:val="0"/>
              <w:spacing w:before="0" w:after="283"/>
              <w:jc w:val="center"/>
              <w:rPr>
                <w:sz w:val="20"/>
              </w:rPr>
            </w:pPr>
            <w:r>
              <w:rPr>
                <w:sz w:val="20"/>
              </w:rPr>
              <w:t>1</w:t>
            </w:r>
          </w:p>
        </w:tc>
      </w:tr>
      <w:tr>
        <w:trPr/>
        <w:tc>
          <w:tcPr>
            <w:tcW w:w="619" w:type="dxa"/>
            <w:tcBorders/>
            <w:shd w:fill="CCEEFF" w:val="clear"/>
            <w:vAlign w:val="center"/>
          </w:tcPr>
          <w:p>
            <w:pPr>
              <w:pStyle w:val="TableContents"/>
              <w:bidi w:val="0"/>
              <w:spacing w:before="0" w:after="283"/>
              <w:ind w:left="0" w:right="0" w:hanging="180"/>
              <w:jc w:val="left"/>
              <w:rPr/>
            </w:pPr>
            <w:r>
              <w:rPr/>
              <w:t> </w:t>
            </w:r>
          </w:p>
        </w:tc>
        <w:tc>
          <w:tcPr>
            <w:tcW w:w="9130" w:type="dxa"/>
            <w:tcBorders/>
            <w:shd w:fill="CCEEFF" w:val="clear"/>
            <w:vAlign w:val="center"/>
          </w:tcPr>
          <w:p>
            <w:pPr>
              <w:pStyle w:val="TableContents"/>
              <w:bidi w:val="0"/>
              <w:spacing w:before="0" w:after="283"/>
              <w:jc w:val="left"/>
              <w:rPr/>
            </w:pPr>
            <w:hyperlink w:anchor="a_004">
              <w:r>
                <w:rPr>
                  <w:rStyle w:val="InternetLink"/>
                  <w:b/>
                  <w:sz w:val="20"/>
                </w:rPr>
                <w:t>Condensed Consolidated Statements of Operations for the Three and Six Months Ended June 30, 2026 and 2025</w:t>
              </w:r>
            </w:hyperlink>
          </w:p>
        </w:tc>
        <w:tc>
          <w:tcPr>
            <w:tcW w:w="456" w:type="dxa"/>
            <w:tcBorders/>
            <w:shd w:fill="CCEEFF" w:val="clear"/>
            <w:vAlign w:val="center"/>
          </w:tcPr>
          <w:p>
            <w:pPr>
              <w:pStyle w:val="TableContents"/>
              <w:bidi w:val="0"/>
              <w:spacing w:before="0" w:after="283"/>
              <w:jc w:val="center"/>
              <w:rPr>
                <w:sz w:val="20"/>
              </w:rPr>
            </w:pPr>
            <w:r>
              <w:rPr>
                <w:sz w:val="20"/>
              </w:rPr>
              <w:t>2</w:t>
            </w:r>
          </w:p>
        </w:tc>
      </w:tr>
      <w:tr>
        <w:trPr/>
        <w:tc>
          <w:tcPr>
            <w:tcW w:w="619" w:type="dxa"/>
            <w:tcBorders/>
            <w:vAlign w:val="center"/>
          </w:tcPr>
          <w:p>
            <w:pPr>
              <w:pStyle w:val="TableContents"/>
              <w:bidi w:val="0"/>
              <w:spacing w:before="0" w:after="283"/>
              <w:ind w:left="0" w:right="0" w:hanging="180"/>
              <w:jc w:val="left"/>
              <w:rPr/>
            </w:pPr>
            <w:r>
              <w:rPr/>
              <w:t> </w:t>
            </w:r>
          </w:p>
        </w:tc>
        <w:tc>
          <w:tcPr>
            <w:tcW w:w="9130" w:type="dxa"/>
            <w:tcBorders/>
            <w:vAlign w:val="center"/>
          </w:tcPr>
          <w:p>
            <w:pPr>
              <w:pStyle w:val="TableContents"/>
              <w:bidi w:val="0"/>
              <w:spacing w:before="0" w:after="283"/>
              <w:jc w:val="left"/>
              <w:rPr/>
            </w:pPr>
            <w:hyperlink w:anchor="a_005">
              <w:r>
                <w:rPr>
                  <w:rStyle w:val="InternetLink"/>
                  <w:b/>
                  <w:sz w:val="20"/>
                </w:rPr>
                <w:t>Condensed Consolidated Statements of Changes in Stockholders’ Equity for the Three and Six Months Ended June 30, 2026 and 2025</w:t>
              </w:r>
            </w:hyperlink>
          </w:p>
        </w:tc>
        <w:tc>
          <w:tcPr>
            <w:tcW w:w="456" w:type="dxa"/>
            <w:tcBorders/>
            <w:vAlign w:val="center"/>
          </w:tcPr>
          <w:p>
            <w:pPr>
              <w:pStyle w:val="TableContents"/>
              <w:bidi w:val="0"/>
              <w:spacing w:before="0" w:after="283"/>
              <w:jc w:val="center"/>
              <w:rPr>
                <w:sz w:val="20"/>
              </w:rPr>
            </w:pPr>
            <w:r>
              <w:rPr>
                <w:sz w:val="20"/>
              </w:rPr>
              <w:t>3</w:t>
            </w:r>
          </w:p>
        </w:tc>
      </w:tr>
      <w:tr>
        <w:trPr/>
        <w:tc>
          <w:tcPr>
            <w:tcW w:w="619" w:type="dxa"/>
            <w:tcBorders/>
            <w:shd w:fill="CCEEFF" w:val="clear"/>
            <w:vAlign w:val="center"/>
          </w:tcPr>
          <w:p>
            <w:pPr>
              <w:pStyle w:val="TableContents"/>
              <w:bidi w:val="0"/>
              <w:spacing w:before="0" w:after="283"/>
              <w:ind w:left="0" w:right="0" w:hanging="180"/>
              <w:jc w:val="left"/>
              <w:rPr/>
            </w:pPr>
            <w:r>
              <w:rPr/>
              <w:t> </w:t>
            </w:r>
          </w:p>
        </w:tc>
        <w:tc>
          <w:tcPr>
            <w:tcW w:w="9130" w:type="dxa"/>
            <w:tcBorders/>
            <w:shd w:fill="CCEEFF" w:val="clear"/>
            <w:vAlign w:val="center"/>
          </w:tcPr>
          <w:p>
            <w:pPr>
              <w:pStyle w:val="TableContents"/>
              <w:bidi w:val="0"/>
              <w:spacing w:before="0" w:after="283"/>
              <w:jc w:val="left"/>
              <w:rPr/>
            </w:pPr>
            <w:hyperlink w:anchor="a_006">
              <w:r>
                <w:rPr>
                  <w:rStyle w:val="InternetLink"/>
                  <w:b/>
                  <w:sz w:val="20"/>
                </w:rPr>
                <w:t>Condensed Consolidated Statements of Cash Flows for the Six Months Ended June 30, 2026 and 2025</w:t>
              </w:r>
            </w:hyperlink>
          </w:p>
        </w:tc>
        <w:tc>
          <w:tcPr>
            <w:tcW w:w="456" w:type="dxa"/>
            <w:tcBorders/>
            <w:shd w:fill="CCEEFF" w:val="clear"/>
            <w:vAlign w:val="center"/>
          </w:tcPr>
          <w:p>
            <w:pPr>
              <w:pStyle w:val="TableContents"/>
              <w:bidi w:val="0"/>
              <w:spacing w:before="0" w:after="283"/>
              <w:jc w:val="center"/>
              <w:rPr>
                <w:sz w:val="20"/>
              </w:rPr>
            </w:pPr>
            <w:r>
              <w:rPr>
                <w:sz w:val="20"/>
              </w:rPr>
              <w:t>4</w:t>
            </w:r>
          </w:p>
        </w:tc>
      </w:tr>
      <w:tr>
        <w:trPr/>
        <w:tc>
          <w:tcPr>
            <w:tcW w:w="619" w:type="dxa"/>
            <w:tcBorders/>
            <w:vAlign w:val="center"/>
          </w:tcPr>
          <w:p>
            <w:pPr>
              <w:pStyle w:val="TableContents"/>
              <w:bidi w:val="0"/>
              <w:spacing w:before="0" w:after="283"/>
              <w:ind w:left="0" w:right="0" w:hanging="180"/>
              <w:jc w:val="left"/>
              <w:rPr/>
            </w:pPr>
            <w:r>
              <w:rPr/>
              <w:t> </w:t>
            </w:r>
          </w:p>
        </w:tc>
        <w:tc>
          <w:tcPr>
            <w:tcW w:w="9130" w:type="dxa"/>
            <w:tcBorders/>
            <w:vAlign w:val="center"/>
          </w:tcPr>
          <w:p>
            <w:pPr>
              <w:pStyle w:val="TableContents"/>
              <w:bidi w:val="0"/>
              <w:spacing w:before="0" w:after="283"/>
              <w:jc w:val="left"/>
              <w:rPr/>
            </w:pPr>
            <w:hyperlink w:anchor="a_007">
              <w:r>
                <w:rPr>
                  <w:rStyle w:val="InternetLink"/>
                  <w:b/>
                  <w:sz w:val="20"/>
                </w:rPr>
                <w:t>Notes to Condensed Consolidated Financial Statements</w:t>
              </w:r>
            </w:hyperlink>
          </w:p>
        </w:tc>
        <w:tc>
          <w:tcPr>
            <w:tcW w:w="456" w:type="dxa"/>
            <w:tcBorders/>
            <w:vAlign w:val="center"/>
          </w:tcPr>
          <w:p>
            <w:pPr>
              <w:pStyle w:val="TableContents"/>
              <w:bidi w:val="0"/>
              <w:spacing w:before="0" w:after="283"/>
              <w:jc w:val="center"/>
              <w:rPr>
                <w:sz w:val="20"/>
              </w:rPr>
            </w:pPr>
            <w:r>
              <w:rPr>
                <w:sz w:val="20"/>
              </w:rPr>
              <w:t>5</w:t>
            </w:r>
          </w:p>
        </w:tc>
      </w:tr>
      <w:tr>
        <w:trPr/>
        <w:tc>
          <w:tcPr>
            <w:tcW w:w="619" w:type="dxa"/>
            <w:tcBorders/>
            <w:shd w:fill="CCEEFF" w:val="clear"/>
            <w:vAlign w:val="center"/>
          </w:tcPr>
          <w:p>
            <w:pPr>
              <w:pStyle w:val="TableContents"/>
              <w:bidi w:val="0"/>
              <w:spacing w:before="0" w:after="283"/>
              <w:ind w:left="0" w:right="0" w:hanging="180"/>
              <w:jc w:val="left"/>
              <w:rPr>
                <w:sz w:val="20"/>
              </w:rPr>
            </w:pPr>
            <w:r>
              <w:rPr>
                <w:sz w:val="20"/>
              </w:rPr>
              <w:t>Item 2.</w:t>
            </w:r>
          </w:p>
        </w:tc>
        <w:tc>
          <w:tcPr>
            <w:tcW w:w="9130" w:type="dxa"/>
            <w:tcBorders/>
            <w:shd w:fill="CCEEFF" w:val="clear"/>
            <w:vAlign w:val="center"/>
          </w:tcPr>
          <w:p>
            <w:pPr>
              <w:pStyle w:val="TableContents"/>
              <w:bidi w:val="0"/>
              <w:spacing w:before="0" w:after="283"/>
              <w:jc w:val="left"/>
              <w:rPr/>
            </w:pPr>
            <w:hyperlink w:anchor="a_008">
              <w:r>
                <w:rPr>
                  <w:rStyle w:val="InternetLink"/>
                  <w:b/>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center"/>
              <w:rPr>
                <w:sz w:val="20"/>
              </w:rPr>
            </w:pPr>
            <w:r>
              <w:rPr>
                <w:sz w:val="20"/>
              </w:rPr>
              <w:t>19</w:t>
            </w:r>
          </w:p>
        </w:tc>
      </w:tr>
      <w:tr>
        <w:trPr/>
        <w:tc>
          <w:tcPr>
            <w:tcW w:w="619" w:type="dxa"/>
            <w:tcBorders/>
            <w:vAlign w:val="center"/>
          </w:tcPr>
          <w:p>
            <w:pPr>
              <w:pStyle w:val="TableContents"/>
              <w:bidi w:val="0"/>
              <w:spacing w:before="0" w:after="283"/>
              <w:ind w:left="0" w:right="0" w:hanging="180"/>
              <w:jc w:val="left"/>
              <w:rPr>
                <w:sz w:val="20"/>
              </w:rPr>
            </w:pPr>
            <w:r>
              <w:rPr>
                <w:sz w:val="20"/>
              </w:rPr>
              <w:t>Item 3.</w:t>
            </w:r>
          </w:p>
        </w:tc>
        <w:tc>
          <w:tcPr>
            <w:tcW w:w="9130" w:type="dxa"/>
            <w:tcBorders/>
            <w:vAlign w:val="center"/>
          </w:tcPr>
          <w:p>
            <w:pPr>
              <w:pStyle w:val="TableContents"/>
              <w:bidi w:val="0"/>
              <w:spacing w:before="0" w:after="283"/>
              <w:jc w:val="left"/>
              <w:rPr/>
            </w:pPr>
            <w:hyperlink w:anchor="a_009">
              <w:r>
                <w:rPr>
                  <w:rStyle w:val="InternetLink"/>
                  <w:b/>
                  <w:sz w:val="20"/>
                </w:rPr>
                <w:t>Quantitative and Qualitative Disclosures About Market Risk</w:t>
              </w:r>
            </w:hyperlink>
          </w:p>
        </w:tc>
        <w:tc>
          <w:tcPr>
            <w:tcW w:w="456" w:type="dxa"/>
            <w:tcBorders/>
            <w:vAlign w:val="center"/>
          </w:tcPr>
          <w:p>
            <w:pPr>
              <w:pStyle w:val="TableContents"/>
              <w:bidi w:val="0"/>
              <w:spacing w:before="0" w:after="283"/>
              <w:jc w:val="center"/>
              <w:rPr>
                <w:sz w:val="20"/>
              </w:rPr>
            </w:pPr>
            <w:r>
              <w:rPr>
                <w:sz w:val="20"/>
              </w:rPr>
              <w:t>25</w:t>
            </w:r>
          </w:p>
        </w:tc>
      </w:tr>
      <w:tr>
        <w:trPr/>
        <w:tc>
          <w:tcPr>
            <w:tcW w:w="619" w:type="dxa"/>
            <w:tcBorders/>
            <w:shd w:fill="CCEEFF" w:val="clear"/>
            <w:vAlign w:val="center"/>
          </w:tcPr>
          <w:p>
            <w:pPr>
              <w:pStyle w:val="TableContents"/>
              <w:bidi w:val="0"/>
              <w:spacing w:before="0" w:after="283"/>
              <w:ind w:left="0" w:right="0" w:hanging="180"/>
              <w:jc w:val="left"/>
              <w:rPr>
                <w:sz w:val="20"/>
              </w:rPr>
            </w:pPr>
            <w:r>
              <w:rPr>
                <w:sz w:val="20"/>
              </w:rPr>
              <w:t>Item 4.</w:t>
            </w:r>
          </w:p>
        </w:tc>
        <w:tc>
          <w:tcPr>
            <w:tcW w:w="9130" w:type="dxa"/>
            <w:tcBorders/>
            <w:shd w:fill="CCEEFF" w:val="clear"/>
            <w:vAlign w:val="center"/>
          </w:tcPr>
          <w:p>
            <w:pPr>
              <w:pStyle w:val="TableContents"/>
              <w:bidi w:val="0"/>
              <w:spacing w:before="0" w:after="283"/>
              <w:jc w:val="left"/>
              <w:rPr/>
            </w:pPr>
            <w:hyperlink w:anchor="a_010">
              <w:r>
                <w:rPr>
                  <w:rStyle w:val="InternetLink"/>
                  <w:b/>
                  <w:sz w:val="20"/>
                </w:rPr>
                <w:t>Controls and Procedures</w:t>
              </w:r>
            </w:hyperlink>
          </w:p>
        </w:tc>
        <w:tc>
          <w:tcPr>
            <w:tcW w:w="456" w:type="dxa"/>
            <w:tcBorders/>
            <w:shd w:fill="CCEEFF" w:val="clear"/>
            <w:vAlign w:val="center"/>
          </w:tcPr>
          <w:p>
            <w:pPr>
              <w:pStyle w:val="TableContents"/>
              <w:bidi w:val="0"/>
              <w:spacing w:before="0" w:after="283"/>
              <w:jc w:val="center"/>
              <w:rPr>
                <w:sz w:val="20"/>
              </w:rPr>
            </w:pPr>
            <w:r>
              <w:rPr>
                <w:sz w:val="20"/>
              </w:rPr>
              <w:t>25</w:t>
            </w:r>
          </w:p>
        </w:tc>
      </w:tr>
      <w:tr>
        <w:trPr/>
        <w:tc>
          <w:tcPr>
            <w:tcW w:w="619" w:type="dxa"/>
            <w:tcBorders/>
            <w:vAlign w:val="center"/>
          </w:tcPr>
          <w:p>
            <w:pPr>
              <w:pStyle w:val="TableContents"/>
              <w:bidi w:val="0"/>
              <w:spacing w:before="0" w:after="283"/>
              <w:ind w:left="0" w:right="0" w:hanging="180"/>
              <w:jc w:val="left"/>
              <w:rPr/>
            </w:pPr>
            <w:r>
              <w:rPr/>
              <w:t> </w:t>
            </w:r>
          </w:p>
        </w:tc>
        <w:tc>
          <w:tcPr>
            <w:tcW w:w="913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9749" w:type="dxa"/>
            <w:gridSpan w:val="2"/>
            <w:tcBorders/>
            <w:shd w:fill="CCEEFF" w:val="clear"/>
            <w:vAlign w:val="center"/>
          </w:tcPr>
          <w:p>
            <w:pPr>
              <w:pStyle w:val="TableContents"/>
              <w:bidi w:val="0"/>
              <w:spacing w:before="0" w:after="283"/>
              <w:jc w:val="left"/>
              <w:rPr/>
            </w:pPr>
            <w:hyperlink w:anchor="a_011">
              <w:r>
                <w:rPr>
                  <w:rStyle w:val="InternetLink"/>
                  <w:b/>
                  <w:sz w:val="20"/>
                </w:rPr>
                <w:t>PART II OTHER INFORMATION</w:t>
              </w:r>
            </w:hyperlink>
          </w:p>
        </w:tc>
        <w:tc>
          <w:tcPr>
            <w:tcW w:w="456" w:type="dxa"/>
            <w:tcBorders/>
            <w:shd w:fill="CCEEFF" w:val="clear"/>
            <w:vAlign w:val="center"/>
          </w:tcPr>
          <w:p>
            <w:pPr>
              <w:pStyle w:val="TableContents"/>
              <w:bidi w:val="0"/>
              <w:spacing w:before="0" w:after="283"/>
              <w:jc w:val="center"/>
              <w:rPr/>
            </w:pPr>
            <w:r>
              <w:rPr/>
              <w:t> </w:t>
            </w:r>
          </w:p>
        </w:tc>
      </w:tr>
      <w:tr>
        <w:trPr/>
        <w:tc>
          <w:tcPr>
            <w:tcW w:w="619" w:type="dxa"/>
            <w:tcBorders/>
            <w:vAlign w:val="center"/>
          </w:tcPr>
          <w:p>
            <w:pPr>
              <w:pStyle w:val="TableContents"/>
              <w:bidi w:val="0"/>
              <w:spacing w:before="0" w:after="283"/>
              <w:ind w:left="0" w:right="0" w:hanging="180"/>
              <w:jc w:val="left"/>
              <w:rPr/>
            </w:pPr>
            <w:r>
              <w:rPr/>
              <w:t> </w:t>
            </w:r>
          </w:p>
        </w:tc>
        <w:tc>
          <w:tcPr>
            <w:tcW w:w="913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19" w:type="dxa"/>
            <w:tcBorders/>
            <w:shd w:fill="CCEEFF" w:val="clear"/>
            <w:vAlign w:val="center"/>
          </w:tcPr>
          <w:p>
            <w:pPr>
              <w:pStyle w:val="TableContents"/>
              <w:bidi w:val="0"/>
              <w:spacing w:before="0" w:after="283"/>
              <w:ind w:left="0" w:right="0" w:hanging="180"/>
              <w:jc w:val="left"/>
              <w:rPr>
                <w:sz w:val="20"/>
              </w:rPr>
            </w:pPr>
            <w:r>
              <w:rPr>
                <w:sz w:val="20"/>
              </w:rPr>
              <w:t>Item 1.</w:t>
            </w:r>
          </w:p>
        </w:tc>
        <w:tc>
          <w:tcPr>
            <w:tcW w:w="9130" w:type="dxa"/>
            <w:tcBorders/>
            <w:shd w:fill="CCEEFF" w:val="clear"/>
            <w:vAlign w:val="center"/>
          </w:tcPr>
          <w:p>
            <w:pPr>
              <w:pStyle w:val="TableContents"/>
              <w:bidi w:val="0"/>
              <w:spacing w:before="0" w:after="283"/>
              <w:jc w:val="left"/>
              <w:rPr/>
            </w:pPr>
            <w:hyperlink w:anchor="a_012">
              <w:r>
                <w:rPr>
                  <w:rStyle w:val="InternetLink"/>
                  <w:b/>
                  <w:sz w:val="20"/>
                </w:rPr>
                <w:t>Legal Proceedings</w:t>
              </w:r>
            </w:hyperlink>
          </w:p>
        </w:tc>
        <w:tc>
          <w:tcPr>
            <w:tcW w:w="456" w:type="dxa"/>
            <w:tcBorders/>
            <w:shd w:fill="CCEEFF" w:val="clear"/>
            <w:vAlign w:val="center"/>
          </w:tcPr>
          <w:p>
            <w:pPr>
              <w:pStyle w:val="TableContents"/>
              <w:bidi w:val="0"/>
              <w:spacing w:before="0" w:after="283"/>
              <w:jc w:val="center"/>
              <w:rPr>
                <w:sz w:val="20"/>
              </w:rPr>
            </w:pPr>
            <w:r>
              <w:rPr>
                <w:sz w:val="20"/>
              </w:rPr>
              <w:t>26</w:t>
            </w:r>
          </w:p>
        </w:tc>
      </w:tr>
      <w:tr>
        <w:trPr/>
        <w:tc>
          <w:tcPr>
            <w:tcW w:w="619" w:type="dxa"/>
            <w:tcBorders/>
            <w:vAlign w:val="center"/>
          </w:tcPr>
          <w:p>
            <w:pPr>
              <w:pStyle w:val="TableContents"/>
              <w:bidi w:val="0"/>
              <w:spacing w:before="0" w:after="283"/>
              <w:ind w:left="0" w:right="0" w:hanging="180"/>
              <w:jc w:val="left"/>
              <w:rPr>
                <w:sz w:val="20"/>
              </w:rPr>
            </w:pPr>
            <w:r>
              <w:rPr>
                <w:sz w:val="20"/>
              </w:rPr>
              <w:t>Item 1A.</w:t>
            </w:r>
          </w:p>
        </w:tc>
        <w:tc>
          <w:tcPr>
            <w:tcW w:w="9130" w:type="dxa"/>
            <w:tcBorders/>
            <w:vAlign w:val="center"/>
          </w:tcPr>
          <w:p>
            <w:pPr>
              <w:pStyle w:val="TableContents"/>
              <w:bidi w:val="0"/>
              <w:spacing w:before="0" w:after="283"/>
              <w:jc w:val="left"/>
              <w:rPr/>
            </w:pPr>
            <w:hyperlink w:anchor="a_013">
              <w:r>
                <w:rPr>
                  <w:rStyle w:val="InternetLink"/>
                  <w:b/>
                  <w:sz w:val="20"/>
                </w:rPr>
                <w:t>Risk Factors</w:t>
              </w:r>
            </w:hyperlink>
          </w:p>
        </w:tc>
        <w:tc>
          <w:tcPr>
            <w:tcW w:w="456" w:type="dxa"/>
            <w:tcBorders/>
            <w:vAlign w:val="center"/>
          </w:tcPr>
          <w:p>
            <w:pPr>
              <w:pStyle w:val="TableContents"/>
              <w:bidi w:val="0"/>
              <w:spacing w:before="0" w:after="283"/>
              <w:jc w:val="center"/>
              <w:rPr>
                <w:sz w:val="20"/>
              </w:rPr>
            </w:pPr>
            <w:r>
              <w:rPr>
                <w:sz w:val="20"/>
              </w:rPr>
              <w:t>26</w:t>
            </w:r>
          </w:p>
        </w:tc>
      </w:tr>
      <w:tr>
        <w:trPr/>
        <w:tc>
          <w:tcPr>
            <w:tcW w:w="619" w:type="dxa"/>
            <w:tcBorders/>
            <w:shd w:fill="CCEEFF" w:val="clear"/>
            <w:vAlign w:val="center"/>
          </w:tcPr>
          <w:p>
            <w:pPr>
              <w:pStyle w:val="TableContents"/>
              <w:bidi w:val="0"/>
              <w:spacing w:before="0" w:after="283"/>
              <w:ind w:left="0" w:right="0" w:hanging="180"/>
              <w:jc w:val="left"/>
              <w:rPr>
                <w:sz w:val="20"/>
              </w:rPr>
            </w:pPr>
            <w:r>
              <w:rPr>
                <w:sz w:val="20"/>
              </w:rPr>
              <w:t>Item 2.</w:t>
            </w:r>
          </w:p>
        </w:tc>
        <w:tc>
          <w:tcPr>
            <w:tcW w:w="9130" w:type="dxa"/>
            <w:tcBorders/>
            <w:shd w:fill="CCEEFF" w:val="clear"/>
            <w:vAlign w:val="center"/>
          </w:tcPr>
          <w:p>
            <w:pPr>
              <w:pStyle w:val="TableContents"/>
              <w:bidi w:val="0"/>
              <w:spacing w:before="0" w:after="283"/>
              <w:jc w:val="left"/>
              <w:rPr/>
            </w:pPr>
            <w:hyperlink w:anchor="a_014">
              <w:r>
                <w:rPr>
                  <w:rStyle w:val="InternetLink"/>
                  <w:b/>
                  <w:sz w:val="20"/>
                </w:rPr>
                <w:t>Unregistered Sales of Equity Securities and Use of Proceeds</w:t>
              </w:r>
            </w:hyperlink>
          </w:p>
        </w:tc>
        <w:tc>
          <w:tcPr>
            <w:tcW w:w="456" w:type="dxa"/>
            <w:tcBorders/>
            <w:shd w:fill="CCEEFF" w:val="clear"/>
            <w:vAlign w:val="center"/>
          </w:tcPr>
          <w:p>
            <w:pPr>
              <w:pStyle w:val="TableContents"/>
              <w:bidi w:val="0"/>
              <w:spacing w:before="0" w:after="283"/>
              <w:jc w:val="center"/>
              <w:rPr>
                <w:sz w:val="20"/>
              </w:rPr>
            </w:pPr>
            <w:r>
              <w:rPr>
                <w:sz w:val="20"/>
              </w:rPr>
              <w:t>27</w:t>
            </w:r>
          </w:p>
        </w:tc>
      </w:tr>
      <w:tr>
        <w:trPr/>
        <w:tc>
          <w:tcPr>
            <w:tcW w:w="619" w:type="dxa"/>
            <w:tcBorders/>
            <w:vAlign w:val="center"/>
          </w:tcPr>
          <w:p>
            <w:pPr>
              <w:pStyle w:val="TableContents"/>
              <w:bidi w:val="0"/>
              <w:spacing w:before="0" w:after="283"/>
              <w:ind w:left="0" w:right="0" w:hanging="180"/>
              <w:jc w:val="left"/>
              <w:rPr>
                <w:sz w:val="20"/>
              </w:rPr>
            </w:pPr>
            <w:r>
              <w:rPr>
                <w:sz w:val="20"/>
              </w:rPr>
              <w:t>Item 3.</w:t>
            </w:r>
          </w:p>
        </w:tc>
        <w:tc>
          <w:tcPr>
            <w:tcW w:w="9130" w:type="dxa"/>
            <w:tcBorders/>
            <w:vAlign w:val="center"/>
          </w:tcPr>
          <w:p>
            <w:pPr>
              <w:pStyle w:val="TableContents"/>
              <w:bidi w:val="0"/>
              <w:spacing w:before="0" w:after="283"/>
              <w:jc w:val="left"/>
              <w:rPr/>
            </w:pPr>
            <w:hyperlink w:anchor="a_015">
              <w:r>
                <w:rPr>
                  <w:rStyle w:val="InternetLink"/>
                  <w:b/>
                  <w:sz w:val="20"/>
                </w:rPr>
                <w:t>Defaults Upon Senior Securities</w:t>
              </w:r>
            </w:hyperlink>
          </w:p>
        </w:tc>
        <w:tc>
          <w:tcPr>
            <w:tcW w:w="456" w:type="dxa"/>
            <w:tcBorders/>
            <w:vAlign w:val="center"/>
          </w:tcPr>
          <w:p>
            <w:pPr>
              <w:pStyle w:val="TableContents"/>
              <w:bidi w:val="0"/>
              <w:spacing w:before="0" w:after="283"/>
              <w:jc w:val="center"/>
              <w:rPr>
                <w:sz w:val="20"/>
              </w:rPr>
            </w:pPr>
            <w:r>
              <w:rPr>
                <w:sz w:val="20"/>
              </w:rPr>
              <w:t>27</w:t>
            </w:r>
          </w:p>
        </w:tc>
      </w:tr>
      <w:tr>
        <w:trPr/>
        <w:tc>
          <w:tcPr>
            <w:tcW w:w="619" w:type="dxa"/>
            <w:tcBorders/>
            <w:shd w:fill="CCEEFF" w:val="clear"/>
            <w:vAlign w:val="center"/>
          </w:tcPr>
          <w:p>
            <w:pPr>
              <w:pStyle w:val="TableContents"/>
              <w:bidi w:val="0"/>
              <w:spacing w:before="0" w:after="283"/>
              <w:ind w:left="0" w:right="0" w:hanging="180"/>
              <w:jc w:val="left"/>
              <w:rPr>
                <w:sz w:val="20"/>
              </w:rPr>
            </w:pPr>
            <w:r>
              <w:rPr>
                <w:sz w:val="20"/>
              </w:rPr>
              <w:t>Item 4.</w:t>
            </w:r>
          </w:p>
        </w:tc>
        <w:tc>
          <w:tcPr>
            <w:tcW w:w="9130" w:type="dxa"/>
            <w:tcBorders/>
            <w:shd w:fill="CCEEFF" w:val="clear"/>
            <w:vAlign w:val="center"/>
          </w:tcPr>
          <w:p>
            <w:pPr>
              <w:pStyle w:val="TableContents"/>
              <w:bidi w:val="0"/>
              <w:spacing w:before="0" w:after="283"/>
              <w:jc w:val="left"/>
              <w:rPr/>
            </w:pPr>
            <w:hyperlink w:anchor="a_016">
              <w:r>
                <w:rPr>
                  <w:rStyle w:val="InternetLink"/>
                  <w:b/>
                  <w:sz w:val="20"/>
                </w:rPr>
                <w:t>Mine Safety Disclosures</w:t>
              </w:r>
            </w:hyperlink>
          </w:p>
        </w:tc>
        <w:tc>
          <w:tcPr>
            <w:tcW w:w="456" w:type="dxa"/>
            <w:tcBorders/>
            <w:shd w:fill="CCEEFF" w:val="clear"/>
            <w:vAlign w:val="center"/>
          </w:tcPr>
          <w:p>
            <w:pPr>
              <w:pStyle w:val="TableContents"/>
              <w:bidi w:val="0"/>
              <w:spacing w:before="0" w:after="283"/>
              <w:jc w:val="center"/>
              <w:rPr>
                <w:sz w:val="20"/>
              </w:rPr>
            </w:pPr>
            <w:r>
              <w:rPr>
                <w:sz w:val="20"/>
              </w:rPr>
              <w:t>27</w:t>
            </w:r>
          </w:p>
        </w:tc>
      </w:tr>
      <w:tr>
        <w:trPr/>
        <w:tc>
          <w:tcPr>
            <w:tcW w:w="619" w:type="dxa"/>
            <w:tcBorders/>
            <w:vAlign w:val="center"/>
          </w:tcPr>
          <w:p>
            <w:pPr>
              <w:pStyle w:val="TableContents"/>
              <w:bidi w:val="0"/>
              <w:spacing w:before="0" w:after="283"/>
              <w:ind w:left="0" w:right="0" w:hanging="180"/>
              <w:jc w:val="left"/>
              <w:rPr>
                <w:sz w:val="20"/>
              </w:rPr>
            </w:pPr>
            <w:r>
              <w:rPr>
                <w:sz w:val="20"/>
              </w:rPr>
              <w:t>Item 5.</w:t>
            </w:r>
          </w:p>
        </w:tc>
        <w:tc>
          <w:tcPr>
            <w:tcW w:w="9130" w:type="dxa"/>
            <w:tcBorders/>
            <w:vAlign w:val="center"/>
          </w:tcPr>
          <w:p>
            <w:pPr>
              <w:pStyle w:val="TableContents"/>
              <w:bidi w:val="0"/>
              <w:spacing w:before="0" w:after="283"/>
              <w:jc w:val="left"/>
              <w:rPr/>
            </w:pPr>
            <w:hyperlink w:anchor="a_017">
              <w:r>
                <w:rPr>
                  <w:rStyle w:val="InternetLink"/>
                  <w:b/>
                  <w:sz w:val="20"/>
                </w:rPr>
                <w:t>Other Information</w:t>
              </w:r>
            </w:hyperlink>
          </w:p>
        </w:tc>
        <w:tc>
          <w:tcPr>
            <w:tcW w:w="456" w:type="dxa"/>
            <w:tcBorders/>
            <w:vAlign w:val="center"/>
          </w:tcPr>
          <w:p>
            <w:pPr>
              <w:pStyle w:val="TableContents"/>
              <w:bidi w:val="0"/>
              <w:spacing w:before="0" w:after="283"/>
              <w:jc w:val="center"/>
              <w:rPr>
                <w:sz w:val="20"/>
              </w:rPr>
            </w:pPr>
            <w:r>
              <w:rPr>
                <w:sz w:val="20"/>
              </w:rPr>
              <w:t>27</w:t>
            </w:r>
          </w:p>
        </w:tc>
      </w:tr>
      <w:tr>
        <w:trPr/>
        <w:tc>
          <w:tcPr>
            <w:tcW w:w="619" w:type="dxa"/>
            <w:tcBorders/>
            <w:shd w:fill="CCEEFF" w:val="clear"/>
            <w:vAlign w:val="center"/>
          </w:tcPr>
          <w:p>
            <w:pPr>
              <w:pStyle w:val="TableContents"/>
              <w:bidi w:val="0"/>
              <w:spacing w:before="0" w:after="283"/>
              <w:ind w:left="0" w:right="0" w:hanging="180"/>
              <w:jc w:val="left"/>
              <w:rPr>
                <w:sz w:val="20"/>
              </w:rPr>
            </w:pPr>
            <w:r>
              <w:rPr>
                <w:sz w:val="20"/>
              </w:rPr>
              <w:t>Item 6.</w:t>
            </w:r>
          </w:p>
        </w:tc>
        <w:tc>
          <w:tcPr>
            <w:tcW w:w="9130" w:type="dxa"/>
            <w:tcBorders/>
            <w:shd w:fill="CCEEFF" w:val="clear"/>
            <w:vAlign w:val="center"/>
          </w:tcPr>
          <w:p>
            <w:pPr>
              <w:pStyle w:val="TableContents"/>
              <w:bidi w:val="0"/>
              <w:spacing w:before="0" w:after="283"/>
              <w:jc w:val="left"/>
              <w:rPr/>
            </w:pPr>
            <w:hyperlink w:anchor="a_018">
              <w:r>
                <w:rPr>
                  <w:rStyle w:val="InternetLink"/>
                  <w:b/>
                  <w:sz w:val="20"/>
                </w:rPr>
                <w:t>Exhibits</w:t>
              </w:r>
            </w:hyperlink>
          </w:p>
        </w:tc>
        <w:tc>
          <w:tcPr>
            <w:tcW w:w="456" w:type="dxa"/>
            <w:tcBorders/>
            <w:shd w:fill="CCEEFF" w:val="clear"/>
            <w:vAlign w:val="center"/>
          </w:tcPr>
          <w:p>
            <w:pPr>
              <w:pStyle w:val="TableContents"/>
              <w:bidi w:val="0"/>
              <w:spacing w:before="0" w:after="283"/>
              <w:jc w:val="center"/>
              <w:rPr>
                <w:sz w:val="20"/>
              </w:rPr>
            </w:pPr>
            <w:r>
              <w:rPr>
                <w:sz w:val="20"/>
              </w:rPr>
              <w:t>28</w:t>
            </w:r>
          </w:p>
        </w:tc>
      </w:tr>
      <w:tr>
        <w:trPr/>
        <w:tc>
          <w:tcPr>
            <w:tcW w:w="9749" w:type="dxa"/>
            <w:gridSpan w:val="2"/>
            <w:tcBorders/>
            <w:vAlign w:val="center"/>
          </w:tcPr>
          <w:p>
            <w:pPr>
              <w:pStyle w:val="TableContents"/>
              <w:bidi w:val="0"/>
              <w:spacing w:before="0" w:after="283"/>
              <w:jc w:val="left"/>
              <w:rPr/>
            </w:pPr>
            <w:hyperlink w:anchor="a_019">
              <w:r>
                <w:rPr>
                  <w:rStyle w:val="InternetLink"/>
                  <w:b/>
                  <w:sz w:val="20"/>
                </w:rPr>
                <w:t>Signatures</w:t>
              </w:r>
            </w:hyperlink>
          </w:p>
        </w:tc>
        <w:tc>
          <w:tcPr>
            <w:tcW w:w="456" w:type="dxa"/>
            <w:tcBorders/>
            <w:vAlign w:val="center"/>
          </w:tcPr>
          <w:p>
            <w:pPr>
              <w:pStyle w:val="TableContents"/>
              <w:bidi w:val="0"/>
              <w:spacing w:before="0" w:after="283"/>
              <w:jc w:val="center"/>
              <w:rPr>
                <w:sz w:val="20"/>
              </w:rPr>
            </w:pPr>
            <w:r>
              <w:rPr>
                <w:sz w:val="20"/>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forward-looking statements under the “Management’s Discussion and Analysis of Financial Condition and Results of Operations” and in other sections of this Quarterly Report on Form 10-Q (this “Form 10-Q”). In some cases, you can identify these statements by forward-looking words such as “may,” “might,” “should,” “would,” “could,” “expect,” “plan,” “anticipate,” “intend,”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we have identified material risks, these risks and uncertainties are not exhaustive. Other sections of this Form 10-Q may describe additional factors that could adversely impact our business and financial performance. Moreover, we operate in a very competitive and rapidly changing environment. New risks and uncertainties emerge from time to time, and it is not possible to predict all risks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not to place undue reliance on the forward-looking statements, which speak only as of the date of this Form 10-Q in the case of forward-looking statements contained in this Form 10-Q.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Our actual results and financial condition may differ materially from those indicated in the forward-looking statements. We qualify all our forward-looking statements by these cautionary statements. Although we believe that the expectations reflected in the forward-looking statements are reasonable, we cannot guarantee future results, levels of activity, performance or achievements. Therefore, you should not rely on any of the forward-looking statements. In addition, with respect to all our forward-looking statements, we claim the protection of the safe harbor for forward-looking statements contained in the Private Securities Litigation Reform Act of 1995.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Form 10-Q, and unless the context otherwise requires, the “Company,” “we,” “us,” and “our” refer to Bluejay Diagnostics, Inc. and its wholly owned subsidiary Bluejay SpinCo, LLC, taken as a whole.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72"/>
        <w:gridCol w:w="60"/>
        <w:gridCol w:w="140"/>
        <w:gridCol w:w="1175"/>
        <w:gridCol w:w="95"/>
        <w:gridCol w:w="60"/>
        <w:gridCol w:w="150"/>
        <w:gridCol w:w="1265"/>
        <w:gridCol w:w="88"/>
      </w:tblGrid>
      <w:tr>
        <w:trPr/>
        <w:tc>
          <w:tcPr>
            <w:tcW w:w="7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88" w:type="dxa"/>
            <w:tcBorders/>
            <w:vAlign w:val="center"/>
          </w:tcPr>
          <w:p>
            <w:pPr>
              <w:pStyle w:val="TableContents"/>
              <w:bidi w:val="0"/>
              <w:spacing w:before="0" w:after="283"/>
              <w:jc w:val="left"/>
              <w:rPr/>
            </w:pPr>
            <w:r>
              <w:rPr/>
              <w:t> </w:t>
            </w:r>
          </w:p>
        </w:tc>
      </w:tr>
      <w:tr>
        <w:trPr/>
        <w:tc>
          <w:tcPr>
            <w:tcW w:w="7172"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r>
      <w:tr>
        <w:trPr/>
        <w:tc>
          <w:tcPr>
            <w:tcW w:w="7172"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9,598,916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5,164,875</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202,971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275,957</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Assets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22,770</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9,814,952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5,463,602</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1,643,397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1,534,441</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113,289</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7,905</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11,533,900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7,119,237</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674,089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214,255</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Operating lease liability,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100,000</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1,369,108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804,942</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2,116,641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1,119,197</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Operating lease liability,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20,211</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4,540</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2,119,060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1,143,948</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Commitments and Contingencies (See Note 10)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Common stock, $0.0001 par value; 250,000,000 shares authorized; 1,983,684 and 604,534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60</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7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55,175,163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47,492,496</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(45,760,521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(41,517,267</w:t>
            </w:r>
          </w:p>
        </w:tc>
        <w:tc>
          <w:tcPr>
            <w:tcW w:w="88" w:type="dxa"/>
            <w:tcBorders/>
            <w:shd w:fill="CCEEFF" w:val="clear"/>
            <w:vAlign w:val="center"/>
          </w:tcPr>
          <w:p>
            <w:pPr>
              <w:pStyle w:val="TableContents"/>
              <w:bidi w:val="0"/>
              <w:spacing w:before="0" w:after="283"/>
              <w:ind w:left="0" w:right="0" w:hanging="200"/>
              <w:jc w:val="left"/>
              <w:rPr/>
            </w:pPr>
            <w:r>
              <w:rPr/>
              <w:t>)</w:t>
            </w:r>
          </w:p>
        </w:tc>
      </w:tr>
      <w:tr>
        <w:trPr/>
        <w:tc>
          <w:tcPr>
            <w:tcW w:w="7172"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9,414,840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5,975,289</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72"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11,533,900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7,119,237</w:t>
            </w:r>
          </w:p>
        </w:tc>
        <w:tc>
          <w:tcPr>
            <w:tcW w:w="8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Reflects a 1-for-4 reverse stock split effective January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Operations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0"/>
        <w:gridCol w:w="60"/>
        <w:gridCol w:w="140"/>
        <w:gridCol w:w="1055"/>
        <w:gridCol w:w="95"/>
        <w:gridCol w:w="60"/>
        <w:gridCol w:w="140"/>
        <w:gridCol w:w="1055"/>
        <w:gridCol w:w="95"/>
        <w:gridCol w:w="60"/>
        <w:gridCol w:w="140"/>
        <w:gridCol w:w="1055"/>
        <w:gridCol w:w="95"/>
        <w:gridCol w:w="60"/>
        <w:gridCol w:w="140"/>
        <w:gridCol w:w="1055"/>
        <w:gridCol w:w="100"/>
      </w:tblGrid>
      <w:tr>
        <w:trPr/>
        <w:tc>
          <w:tcPr>
            <w:tcW w:w="4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00" w:type="dxa"/>
            <w:tcBorders/>
            <w:vAlign w:val="center"/>
          </w:tcPr>
          <w:p>
            <w:pPr>
              <w:pStyle w:val="TableContents"/>
              <w:bidi w:val="0"/>
              <w:spacing w:before="0" w:after="283"/>
              <w:jc w:val="left"/>
              <w:rPr/>
            </w:pPr>
            <w:r>
              <w:rPr/>
              <w:t> </w:t>
            </w:r>
          </w:p>
        </w:tc>
      </w:tr>
      <w:tr>
        <w:trPr/>
        <w:tc>
          <w:tcPr>
            <w:tcW w:w="4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r>
      <w:tr>
        <w:trPr/>
        <w:tc>
          <w:tcPr>
            <w:tcW w:w="480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ind w:left="0" w:right="0" w:hanging="200"/>
              <w:jc w:val="left"/>
              <w:rPr/>
            </w:pPr>
            <w:r>
              <w:rPr/>
              <w:t> </w:t>
            </w:r>
          </w:p>
        </w:tc>
      </w:tr>
      <w:tr>
        <w:trPr/>
        <w:tc>
          <w:tcPr>
            <w:tcW w:w="480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1,437,806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889,896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2,249,643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1,674,696</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80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911,318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1,095,465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2,038,312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2,199,582</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80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2,349,124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1,985,361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4,287,955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3,874,278</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80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(2,349,124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(1,985,361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(4,287,955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(3,874,278</w:t>
            </w:r>
          </w:p>
        </w:tc>
        <w:tc>
          <w:tcPr>
            <w:tcW w:w="100" w:type="dxa"/>
            <w:tcBorders/>
            <w:shd w:fill="CCEEFF" w:val="clear"/>
            <w:vAlign w:val="center"/>
          </w:tcPr>
          <w:p>
            <w:pPr>
              <w:pStyle w:val="TableContents"/>
              <w:bidi w:val="0"/>
              <w:spacing w:before="0" w:after="283"/>
              <w:ind w:left="0" w:right="0" w:hanging="200"/>
              <w:jc w:val="left"/>
              <w:rPr/>
            </w:pPr>
            <w:r>
              <w:rPr/>
              <w:t>)</w:t>
            </w:r>
          </w:p>
        </w:tc>
      </w:tr>
      <w:tr>
        <w:trPr/>
        <w:tc>
          <w:tcPr>
            <w:tcW w:w="4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80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80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47,055</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80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6,184</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80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25,111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28,757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44,701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53,239</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8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(2,324,013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(1,956,604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(4,243,254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(3,821,039</w:t>
            </w:r>
          </w:p>
        </w:tc>
        <w:tc>
          <w:tcPr>
            <w:tcW w:w="100" w:type="dxa"/>
            <w:tcBorders/>
            <w:shd w:fill="FFFFFF" w:val="clear"/>
            <w:vAlign w:val="center"/>
          </w:tcPr>
          <w:p>
            <w:pPr>
              <w:pStyle w:val="TableContents"/>
              <w:bidi w:val="0"/>
              <w:spacing w:before="0" w:after="283"/>
              <w:ind w:left="0" w:right="0" w:hanging="200"/>
              <w:jc w:val="left"/>
              <w:rPr/>
            </w:pPr>
            <w:r>
              <w:rPr/>
              <w:t>)</w:t>
            </w:r>
          </w:p>
        </w:tc>
      </w:tr>
      <w:tr>
        <w:trPr/>
        <w:tc>
          <w:tcPr>
            <w:tcW w:w="4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800" w:type="dxa"/>
            <w:tcBorders/>
            <w:shd w:fill="FFFFFF" w:val="clear"/>
            <w:vAlign w:val="center"/>
          </w:tcPr>
          <w:p>
            <w:pPr>
              <w:pStyle w:val="TableContents"/>
              <w:bidi w:val="0"/>
              <w:spacing w:before="0" w:after="283"/>
              <w:jc w:val="left"/>
              <w:rPr/>
            </w:pPr>
            <w:r>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(2.77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(15.75</w:t>
            </w:r>
          </w:p>
        </w:tc>
        <w:tc>
          <w:tcPr>
            <w:tcW w:w="100" w:type="dxa"/>
            <w:tcBorders/>
            <w:shd w:fill="FFFFFF" w:val="clear"/>
            <w:vAlign w:val="center"/>
          </w:tcPr>
          <w:p>
            <w:pPr>
              <w:pStyle w:val="TableContents"/>
              <w:bidi w:val="0"/>
              <w:spacing w:before="0" w:after="283"/>
              <w:ind w:left="0" w:right="0" w:hanging="200"/>
              <w:jc w:val="left"/>
              <w:rPr/>
            </w:pPr>
            <w:r>
              <w:rPr/>
              <w:t>)</w:t>
            </w:r>
          </w:p>
        </w:tc>
      </w:tr>
      <w:tr>
        <w:trPr/>
        <w:tc>
          <w:tcPr>
            <w:tcW w:w="4800" w:type="dxa"/>
            <w:tcBorders/>
            <w:shd w:fill="CCEEFF" w:val="clear"/>
            <w:vAlign w:val="center"/>
          </w:tcPr>
          <w:p>
            <w:pPr>
              <w:pStyle w:val="TableContents"/>
              <w:bidi w:val="0"/>
              <w:spacing w:before="0" w:after="283"/>
              <w:jc w:val="left"/>
              <w:rPr/>
            </w:pPr>
            <w:r>
              <w:rPr/>
              <w:t>Weighted average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2,079,263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346,780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1,531,999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242,641</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a 1-for-4 reverse stock split effective January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5"/>
        <w:gridCol w:w="60"/>
        <w:gridCol w:w="60"/>
        <w:gridCol w:w="980"/>
        <w:gridCol w:w="60"/>
        <w:gridCol w:w="60"/>
        <w:gridCol w:w="231"/>
        <w:gridCol w:w="629"/>
        <w:gridCol w:w="60"/>
        <w:gridCol w:w="60"/>
        <w:gridCol w:w="140"/>
        <w:gridCol w:w="1100"/>
        <w:gridCol w:w="95"/>
        <w:gridCol w:w="60"/>
        <w:gridCol w:w="145"/>
        <w:gridCol w:w="1225"/>
        <w:gridCol w:w="95"/>
        <w:gridCol w:w="60"/>
        <w:gridCol w:w="157"/>
        <w:gridCol w:w="1199"/>
        <w:gridCol w:w="84"/>
      </w:tblGrid>
      <w:tr>
        <w:trPr/>
        <w:tc>
          <w:tcPr>
            <w:tcW w:w="3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16"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Stockholders’ Equity</w:t>
            </w:r>
          </w:p>
        </w:tc>
        <w:tc>
          <w:tcPr>
            <w:tcW w:w="84"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Stockholders’</w:t>
            </w:r>
          </w:p>
        </w:tc>
        <w:tc>
          <w:tcPr>
            <w:tcW w:w="84"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84" w:type="dxa"/>
            <w:tcBorders/>
            <w:vAlign w:val="center"/>
          </w:tcPr>
          <w:p>
            <w:pPr>
              <w:pStyle w:val="TableContents"/>
              <w:bidi w:val="0"/>
              <w:spacing w:before="0" w:after="283"/>
              <w:ind w:left="0" w:right="0" w:hanging="200"/>
              <w:jc w:val="left"/>
              <w:rPr/>
            </w:pPr>
            <w:r>
              <w:rPr/>
              <w:t> </w:t>
            </w:r>
          </w:p>
        </w:tc>
      </w:tr>
      <w:tr>
        <w:trPr/>
        <w:tc>
          <w:tcPr>
            <w:tcW w:w="3645"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604,534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47,492,496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(41,517,267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5,975,289</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645" w:type="dxa"/>
            <w:tcBorders/>
            <w:shd w:fill="FFFFFF" w:val="clear"/>
            <w:vAlign w:val="center"/>
          </w:tcPr>
          <w:p>
            <w:pPr>
              <w:pStyle w:val="TableContents"/>
              <w:bidi w:val="0"/>
              <w:spacing w:before="0" w:after="283"/>
              <w:jc w:val="left"/>
              <w:rPr/>
            </w:pPr>
            <w:r>
              <w:rPr/>
              <w:t>Exercise of October 2025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367,681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147</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645" w:type="dxa"/>
            <w:tcBorders/>
            <w:shd w:fill="CCEEFF" w:val="clear"/>
            <w:vAlign w:val="center"/>
          </w:tcPr>
          <w:p>
            <w:pPr>
              <w:pStyle w:val="TableContents"/>
              <w:bidi w:val="0"/>
              <w:spacing w:before="0" w:after="283"/>
              <w:jc w:val="left"/>
              <w:rPr/>
            </w:pPr>
            <w:r>
              <w:rPr/>
              <w:t>Issuance of common stock in connection with the March 2026 Private Placement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124,994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125,000</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64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(1,919,241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(1,919,241</w:t>
            </w:r>
          </w:p>
        </w:tc>
        <w:tc>
          <w:tcPr>
            <w:tcW w:w="84" w:type="dxa"/>
            <w:tcBorders/>
            <w:shd w:fill="FFFFFF" w:val="clear"/>
            <w:vAlign w:val="center"/>
          </w:tcPr>
          <w:p>
            <w:pPr>
              <w:pStyle w:val="TableContents"/>
              <w:bidi w:val="0"/>
              <w:spacing w:before="0" w:after="283"/>
              <w:ind w:left="0" w:right="0" w:hanging="200"/>
              <w:jc w:val="left"/>
              <w:rPr/>
            </w:pPr>
            <w:r>
              <w:rPr/>
              <w:t>)</w:t>
            </w:r>
          </w:p>
        </w:tc>
      </w:tr>
      <w:tr>
        <w:trPr/>
        <w:tc>
          <w:tcPr>
            <w:tcW w:w="3645"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1,034,715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47,617,600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(43,436,508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4,181,195</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645" w:type="dxa"/>
            <w:tcBorders/>
            <w:shd w:fill="FFFFFF" w:val="clear"/>
            <w:vAlign w:val="center"/>
          </w:tcPr>
          <w:p>
            <w:pPr>
              <w:pStyle w:val="TableContents"/>
              <w:bidi w:val="0"/>
              <w:spacing w:before="0" w:after="283"/>
              <w:jc w:val="left"/>
              <w:rPr/>
            </w:pPr>
            <w:r>
              <w:rPr/>
              <w:t>Issuance of June 2026 Pre-Funded Warrants in connection with June 2026 Private Placement, net of issuance costs of $942,262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7,557,827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7,557,827</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645" w:type="dxa"/>
            <w:tcBorders/>
            <w:shd w:fill="CCEEFF" w:val="clear"/>
            <w:vAlign w:val="center"/>
          </w:tcPr>
          <w:p>
            <w:pPr>
              <w:pStyle w:val="TableContents"/>
              <w:bidi w:val="0"/>
              <w:spacing w:before="0" w:after="283"/>
              <w:jc w:val="left"/>
              <w:rPr/>
            </w:pPr>
            <w:r>
              <w:rPr/>
              <w:t>Exercise of June 2026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948,969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(169</w:t>
            </w:r>
          </w:p>
        </w:tc>
        <w:tc>
          <w:tcPr>
            <w:tcW w:w="84" w:type="dxa"/>
            <w:tcBorders/>
            <w:shd w:fill="CCEEFF" w:val="clear"/>
            <w:vAlign w:val="center"/>
          </w:tcPr>
          <w:p>
            <w:pPr>
              <w:pStyle w:val="TableContents"/>
              <w:bidi w:val="0"/>
              <w:spacing w:before="0" w:after="283"/>
              <w:ind w:left="0" w:right="0" w:hanging="200"/>
              <w:jc w:val="left"/>
              <w:rPr/>
            </w:pPr>
            <w:r>
              <w:rPr/>
              <w:t>)</w:t>
            </w:r>
          </w:p>
        </w:tc>
      </w:tr>
      <w:tr>
        <w:trPr/>
        <w:tc>
          <w:tcPr>
            <w:tcW w:w="364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(2,324,013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(2,324,013</w:t>
            </w:r>
          </w:p>
        </w:tc>
        <w:tc>
          <w:tcPr>
            <w:tcW w:w="84" w:type="dxa"/>
            <w:tcBorders/>
            <w:shd w:fill="FFFFFF" w:val="clear"/>
            <w:vAlign w:val="center"/>
          </w:tcPr>
          <w:p>
            <w:pPr>
              <w:pStyle w:val="TableContents"/>
              <w:bidi w:val="0"/>
              <w:spacing w:before="0" w:after="283"/>
              <w:ind w:left="0" w:right="0" w:hanging="200"/>
              <w:jc w:val="left"/>
              <w:rPr/>
            </w:pPr>
            <w:r>
              <w:rPr/>
              <w:t>)</w:t>
            </w:r>
          </w:p>
        </w:tc>
      </w:tr>
      <w:tr>
        <w:trPr/>
        <w:tc>
          <w:tcPr>
            <w:tcW w:w="3645"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1,983,684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55,175,163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(45,760,521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9,414,840</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4"/>
        <w:gridCol w:w="60"/>
        <w:gridCol w:w="61"/>
        <w:gridCol w:w="820"/>
        <w:gridCol w:w="61"/>
        <w:gridCol w:w="61"/>
        <w:gridCol w:w="301"/>
        <w:gridCol w:w="559"/>
        <w:gridCol w:w="60"/>
        <w:gridCol w:w="60"/>
        <w:gridCol w:w="152"/>
        <w:gridCol w:w="1200"/>
        <w:gridCol w:w="95"/>
        <w:gridCol w:w="60"/>
        <w:gridCol w:w="145"/>
        <w:gridCol w:w="1225"/>
        <w:gridCol w:w="95"/>
        <w:gridCol w:w="60"/>
        <w:gridCol w:w="168"/>
        <w:gridCol w:w="1282"/>
        <w:gridCol w:w="86"/>
      </w:tblGrid>
      <w:tr>
        <w:trPr/>
        <w:tc>
          <w:tcPr>
            <w:tcW w:w="3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Stockholders’ Equity</w:t>
            </w:r>
          </w:p>
        </w:tc>
        <w:tc>
          <w:tcPr>
            <w:tcW w:w="86" w:type="dxa"/>
            <w:tcBorders/>
            <w:vAlign w:val="center"/>
          </w:tcPr>
          <w:p>
            <w:pPr>
              <w:pStyle w:val="TableContents"/>
              <w:bidi w:val="0"/>
              <w:spacing w:before="0" w:after="283"/>
              <w:jc w:val="left"/>
              <w:rPr/>
            </w:pPr>
            <w:r>
              <w:rPr/>
              <w:t> </w:t>
            </w:r>
          </w:p>
        </w:tc>
      </w:tr>
      <w:tr>
        <w:trPr/>
        <w:tc>
          <w:tcPr>
            <w:tcW w:w="3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center"/>
              <w:rPr>
                <w:b/>
              </w:rPr>
            </w:pPr>
            <w:r>
              <w:rPr>
                <w:b/>
              </w:rPr>
              <w:t>Total Stockholders’</w:t>
            </w:r>
          </w:p>
        </w:tc>
        <w:tc>
          <w:tcPr>
            <w:tcW w:w="86" w:type="dxa"/>
            <w:tcBorders/>
            <w:vAlign w:val="center"/>
          </w:tcPr>
          <w:p>
            <w:pPr>
              <w:pStyle w:val="TableContents"/>
              <w:bidi w:val="0"/>
              <w:spacing w:before="0" w:after="283"/>
              <w:jc w:val="left"/>
              <w:rPr/>
            </w:pPr>
            <w:r>
              <w:rPr/>
              <w:t> </w:t>
            </w:r>
          </w:p>
        </w:tc>
      </w:tr>
      <w:tr>
        <w:trPr/>
        <w:tc>
          <w:tcPr>
            <w:tcW w:w="3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b/>
                <w:sz w:val="20"/>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86" w:type="dxa"/>
            <w:tcBorders/>
            <w:vAlign w:val="center"/>
          </w:tcPr>
          <w:p>
            <w:pPr>
              <w:pStyle w:val="TableContents"/>
              <w:bidi w:val="0"/>
              <w:spacing w:before="0" w:after="283"/>
              <w:ind w:left="0" w:right="0" w:hanging="180"/>
              <w:jc w:val="left"/>
              <w:rPr/>
            </w:pPr>
            <w:r>
              <w:rPr/>
              <w:t> </w:t>
            </w:r>
          </w:p>
        </w:tc>
      </w:tr>
      <w:tr>
        <w:trPr/>
        <w:tc>
          <w:tcPr>
            <w:tcW w:w="3594"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138,503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40,398,269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(34,668,784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5,729,499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594"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1,312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59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(1,864,435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(1,864,435</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3594"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138,503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40,399,581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(36,533,219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3,866,376</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594"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(1,563</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3594" w:type="dxa"/>
            <w:tcBorders/>
            <w:shd w:fill="FFFFFF" w:val="clear"/>
            <w:vAlign w:val="center"/>
          </w:tcPr>
          <w:p>
            <w:pPr>
              <w:pStyle w:val="TableContents"/>
              <w:bidi w:val="0"/>
              <w:spacing w:before="0" w:after="283"/>
              <w:jc w:val="left"/>
              <w:rPr/>
            </w:pPr>
            <w:r>
              <w:rPr/>
              <w:t>Issuance of common stock for vested restricted stock units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594" w:type="dxa"/>
            <w:tcBorders/>
            <w:shd w:fill="CCEEFF" w:val="clear"/>
            <w:vAlign w:val="center"/>
          </w:tcPr>
          <w:p>
            <w:pPr>
              <w:pStyle w:val="TableContents"/>
              <w:bidi w:val="0"/>
              <w:spacing w:before="0" w:after="283"/>
              <w:jc w:val="left"/>
              <w:rPr/>
            </w:pPr>
            <w:r>
              <w:rPr/>
              <w:t>Issuance of common stock in connection with April 2025 Warrant Inducement, net of issuance costs of $464,670 and warrant inducement costs of $2,706,645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235,039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675,354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675,377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594" w:type="dxa"/>
            <w:tcBorders/>
            <w:shd w:fill="FFFFFF" w:val="clear"/>
            <w:vAlign w:val="center"/>
          </w:tcPr>
          <w:p>
            <w:pPr>
              <w:pStyle w:val="TableContents"/>
              <w:bidi w:val="0"/>
              <w:spacing w:before="0" w:after="283"/>
              <w:jc w:val="left"/>
              <w:rPr/>
            </w:pPr>
            <w:r>
              <w:rPr/>
              <w:t>Warrant inducement cost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2,706,645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2,706,645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59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(1,956,604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(1,956,604</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3594"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double" w:sz="10" w:space="0" w:color="000000"/>
            </w:tcBorders>
            <w:shd w:fill="FFFFFF" w:val="clear"/>
            <w:tcMar>
              <w:bottom w:w="28" w:type="dxa"/>
            </w:tcMar>
            <w:vAlign w:val="center"/>
          </w:tcPr>
          <w:p>
            <w:pPr>
              <w:pStyle w:val="TableContents"/>
              <w:bidi w:val="0"/>
              <w:spacing w:before="0" w:after="283"/>
              <w:jc w:val="right"/>
              <w:rPr/>
            </w:pPr>
            <w:r>
              <w:rPr/>
              <w:t>373,546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0" w:type="dxa"/>
            <w:tcBorders>
              <w:bottom w:val="double" w:sz="10" w:space="0" w:color="000000"/>
            </w:tcBorders>
            <w:shd w:fill="FFFFFF" w:val="clear"/>
            <w:tcMar>
              <w:bottom w:w="28" w:type="dxa"/>
            </w:tcMar>
            <w:vAlign w:val="center"/>
          </w:tcPr>
          <w:p>
            <w:pPr>
              <w:pStyle w:val="TableContents"/>
              <w:bidi w:val="0"/>
              <w:spacing w:before="0" w:after="283"/>
              <w:jc w:val="right"/>
              <w:rPr/>
            </w:pPr>
            <w:r>
              <w:rPr/>
              <w:t>43,780,017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(38,489,823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5,290,231</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a 1-for-4 reverse stock split effective January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650" w:type="dxa"/>
        <w:jc w:val="left"/>
        <w:tblInd w:w="0" w:type="dxa"/>
        <w:tblLayout w:type="fixed"/>
        <w:tblCellMar>
          <w:top w:w="0" w:type="dxa"/>
          <w:left w:w="0" w:type="dxa"/>
          <w:bottom w:w="0" w:type="dxa"/>
          <w:right w:w="0" w:type="dxa"/>
        </w:tblCellMar>
      </w:tblPr>
      <w:tblGrid>
        <w:gridCol w:w="6935"/>
        <w:gridCol w:w="60"/>
        <w:gridCol w:w="140"/>
        <w:gridCol w:w="1055"/>
        <w:gridCol w:w="95"/>
        <w:gridCol w:w="60"/>
        <w:gridCol w:w="140"/>
        <w:gridCol w:w="1055"/>
        <w:gridCol w:w="110"/>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(4,243,254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(3,821,039</w:t>
            </w:r>
          </w:p>
        </w:tc>
        <w:tc>
          <w:tcPr>
            <w:tcW w:w="110" w:type="dxa"/>
            <w:tcBorders/>
            <w:shd w:fill="CCEEFF" w:val="clear"/>
            <w:vAlign w:val="center"/>
          </w:tcPr>
          <w:p>
            <w:pPr>
              <w:pStyle w:val="TableContents"/>
              <w:bidi w:val="0"/>
              <w:spacing w:before="0" w:after="283"/>
              <w:jc w:val="left"/>
              <w:rPr/>
            </w:pPr>
            <w:r>
              <w:rPr/>
              <w:t>)</w:t>
            </w:r>
          </w:p>
        </w:tc>
      </w:tr>
      <w:tr>
        <w:trPr/>
        <w:tc>
          <w:tcPr>
            <w:tcW w:w="6935"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55,956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36,143</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(251</w:t>
            </w:r>
          </w:p>
        </w:tc>
        <w:tc>
          <w:tcPr>
            <w:tcW w:w="110" w:type="dxa"/>
            <w:tcBorders/>
            <w:shd w:fill="FFFFFF" w:val="clear"/>
            <w:vAlign w:val="center"/>
          </w:tcPr>
          <w:p>
            <w:pPr>
              <w:pStyle w:val="TableContents"/>
              <w:bidi w:val="0"/>
              <w:spacing w:before="0" w:after="283"/>
              <w:jc w:val="left"/>
              <w:rPr/>
            </w:pPr>
            <w:r>
              <w:rPr/>
              <w:t>)</w:t>
            </w:r>
          </w:p>
        </w:tc>
      </w:tr>
      <w:tr>
        <w:trPr/>
        <w:tc>
          <w:tcPr>
            <w:tcW w:w="6935" w:type="dxa"/>
            <w:tcBorders/>
            <w:shd w:fill="CCEEFF" w:val="clear"/>
            <w:vAlign w:val="center"/>
          </w:tcPr>
          <w:p>
            <w:pPr>
              <w:pStyle w:val="TableContents"/>
              <w:bidi w:val="0"/>
              <w:spacing w:before="0" w:after="283"/>
              <w:jc w:val="left"/>
              <w:rPr/>
            </w:pPr>
            <w:r>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54,105</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Write-off and impairment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495</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72,986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291,460</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13,093</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459,834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(36,305</w:t>
            </w:r>
          </w:p>
        </w:tc>
        <w:tc>
          <w:tcPr>
            <w:tcW w:w="110" w:type="dxa"/>
            <w:tcBorders/>
            <w:shd w:fill="FFFFFF" w:val="clear"/>
            <w:vAlign w:val="center"/>
          </w:tcPr>
          <w:p>
            <w:pPr>
              <w:pStyle w:val="TableContents"/>
              <w:bidi w:val="0"/>
              <w:spacing w:before="0" w:after="283"/>
              <w:jc w:val="left"/>
              <w:rPr/>
            </w:pPr>
            <w:r>
              <w:rPr/>
              <w:t>)</w:t>
            </w:r>
          </w:p>
        </w:tc>
      </w:tr>
      <w:tr>
        <w:trPr/>
        <w:tc>
          <w:tcPr>
            <w:tcW w:w="693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517,399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223,387</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(3,088,556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(3,238,912</w:t>
            </w:r>
          </w:p>
        </w:tc>
        <w:tc>
          <w:tcPr>
            <w:tcW w:w="110" w:type="dxa"/>
            <w:tcBorders/>
            <w:shd w:fill="FFFFFF" w:val="clear"/>
            <w:vAlign w:val="center"/>
          </w:tcPr>
          <w:p>
            <w:pPr>
              <w:pStyle w:val="TableContents"/>
              <w:bidi w:val="0"/>
              <w:spacing w:before="0" w:after="283"/>
              <w:jc w:val="left"/>
              <w:rPr>
                <w:b/>
              </w:rPr>
            </w:pPr>
            <w:r>
              <w:rPr>
                <w:b/>
              </w:rPr>
              <w:t>)</w:t>
            </w:r>
          </w:p>
        </w:tc>
      </w:tr>
      <w:tr>
        <w:trPr/>
        <w:tc>
          <w:tcPr>
            <w:tcW w:w="6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(161,762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(158,087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Proceeds from issuance of common stock and pre-funded warrants,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8,624,835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3,846,692</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Issuance costs related to issuance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(942,262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(464,670</w:t>
            </w:r>
          </w:p>
        </w:tc>
        <w:tc>
          <w:tcPr>
            <w:tcW w:w="110" w:type="dxa"/>
            <w:tcBorders/>
            <w:shd w:fill="CCEEFF" w:val="clear"/>
            <w:vAlign w:val="center"/>
          </w:tcPr>
          <w:p>
            <w:pPr>
              <w:pStyle w:val="TableContents"/>
              <w:bidi w:val="0"/>
              <w:spacing w:before="0" w:after="283"/>
              <w:jc w:val="left"/>
              <w:rPr/>
            </w:pPr>
            <w:r>
              <w:rPr/>
              <w:t>)</w:t>
            </w:r>
          </w:p>
        </w:tc>
      </w:tr>
      <w:tr>
        <w:trPr/>
        <w:tc>
          <w:tcPr>
            <w:tcW w:w="6935" w:type="dxa"/>
            <w:tcBorders/>
            <w:shd w:fill="FFFFFF" w:val="clear"/>
            <w:vAlign w:val="center"/>
          </w:tcPr>
          <w:p>
            <w:pPr>
              <w:pStyle w:val="TableContents"/>
              <w:bidi w:val="0"/>
              <w:spacing w:before="0" w:after="283"/>
              <w:jc w:val="left"/>
              <w:rPr/>
            </w:pPr>
            <w:r>
              <w:rPr/>
              <w:t>Proceeds from exercise of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Payment of finance lease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(2,121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(1,979</w:t>
            </w:r>
          </w:p>
        </w:tc>
        <w:tc>
          <w:tcPr>
            <w:tcW w:w="110" w:type="dxa"/>
            <w:tcBorders/>
            <w:shd w:fill="CCEEFF" w:val="clear"/>
            <w:vAlign w:val="center"/>
          </w:tcPr>
          <w:p>
            <w:pPr>
              <w:pStyle w:val="TableContents"/>
              <w:bidi w:val="0"/>
              <w:spacing w:before="0" w:after="283"/>
              <w:jc w:val="left"/>
              <w:rPr/>
            </w:pPr>
            <w:r>
              <w:rPr/>
              <w:t>)</w:t>
            </w:r>
          </w:p>
        </w:tc>
      </w:tr>
      <w:tr>
        <w:trPr/>
        <w:tc>
          <w:tcPr>
            <w:tcW w:w="6935"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7,680,684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3,380,043</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4,434,041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141,131</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5,164,875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4,301,945</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9,598,916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4,443,076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OPERATIONS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Bluejay Diagnostics, Inc. (“Bluejay” and/or the “Company”) is a medical diagnostics company focused on improving patient outcomes in critical care settings, with a focus on sepsis. The Company is working on developing rapid, near-patient tests using whole blood on its Symphony technology platform (“Symphony”), which consists of an analyzer and single-use protein detection cartridges. The Company does not yet have regulatory clearance for Symphony, and it will need to receive regulatory authorization from the U.S. Food and Drug Administration (the “FDA”) before Symphony can be marketed as a diagnostic product in the United States. The Company has completed the development of the Symphony analyzer. During 2025, the Company transferred the intellectual property underlying the production of the Symphony cartridges from the original developer and outside supplier, Toray Industries, Inc. (“Toray”), to a contract manufacturing facility with FDA certification run by Sanyoseiko Co. Ltd. (“Sanyoseiko”). On May 27, 2026, the Company entered into an agreement and statement of work with Argonaut Manufacturing (“Argonaut”) to provide the Company with US based manufacturing to de-risk the Company’s overseas manufacturing. In July 2026, the Company announced that it has successfully completed patient enrollment of its SYMON-II clinical validation study for IL-6. The Company is now progressing toward analytical and clinical validation to support a regulatory submission. To achieve its commercial plan, the Company expects to need to raise between $10.0 million and $14.0 million of further capital by the end of the 2027 fiscal year for commercialization, which the Company hopes to do in various tranches.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Symphony platform is a combination of Bluejay’s intellectual property (“IP”) and exclusively licensed and patented IP on the Symphony technology that the Company believes if cleared, authorized, or approved by the FDA, could provide a solution to a significant market need in the United States. The Symphony device candidate is designed to produce laboratory-quality results in approximately 20 minutes in critical care settings, including Intensive Care Units (“ICUs”) and Emergency Rooms (“ERs”), where rapid and reliable results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product candidate, the Symphony IL-6 test, is an immunoassay for the measurement of interleukin-6 (IL-6) to be used for the monitoring of disease progression in critical care settings. The Company is currently focused on pursuing the Symphony IL-6 test in the context of sepsis. IL-6 is a clinically established inflammatory biomarker, and is considered a ‘first-responder,’ for assessment of severity of infection and inflammation across many disease indications, including sepsis. A current challenge of healthcare professionals is the excessive time and cost associated with determining a patient’s level of severity at triage and the Company believes that its Symphony IL-6 test, if ultimately successful and approved, could have the ability to consistently monitor this critical care biomarker with rapid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succeeds with the foregoing plan, in the future it hopes to develop additional tests for Symphony, including tests for myocardial infarction and congestive heart failure (cardiac biomarkers hsTNT and NT pro-BNP) as well as other tests using the Symphony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incorporated under the laws of Delaware on March 20, 2015. Its headquarters are located in Acton, Massachusetts.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2021, the Company formed Bluejay Spinco, LLC, a wholly-owned subsidiary of the Company, for purposes of further development of the Company’s ALLEREYE diagnostic test. ALLEREYE is a point-of-care device offering healthcare providers a solution for diagnosing Allergic Conjunctivitis. The Company currently is not actively pursuing development of the ALLEREYE diagnostic test. On March 3, 2026, the Company completed the dissolution of its wholly owned subsidiary Bluejay Spinco,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FDA Regulatory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Company’s products in the U.S. are subject to regulation by the FDA. Generally, the products we develop must be cleared by the FDA before they are marketed in the United States. Before and after approval, authorization, or clearance in the United States, our products are subject to extensive regulation by the FDA, as well as by other regulatory bodies. FDA regulations govern, among other things, the development, testing, manufacturing, labeling, safety, storage, recordkeeping, market clearance, authorization or approval, labeling and promotion, import and export, marketing and sales, and distribution of medical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regulatory strategy is designed to support commercialization of Symphony in the United States if and when the Company receives marketing authorization from the FDA. In May 2023, the Company submitted a pre-submission application to the FDA presenting study designs to validate Symphony IL-6 for use with hospitalized sepsis patients. The Company participated in a pre-submission meeting with the FDA in August 2023, and at the meeting the FDA provided feedback on the study design, determined that the submission of a 510(k) is the appropriate premarket submission pathway, and requested that certain data be provided in the 510(k). Based on this feedback, the Company is determined to proceed on this basis, which considers the FDA’s feedback.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second quarter of 2024, the Company completed a multicenter SYmphony IL-6 MONitoring Sepsis (“SYMON”) pilot clinical study investigating the role of interleukin-6 (IL-6) in patients diagnosed with sepsis and septic shock. This prospective study assessed the performance of IL-6 upon initial presentation to the intensive care unit (ICU). A primary endpoint of the SYMON-I pilot clinical study (registered clinical trial number NCT06181604) suggested that IL-6 levels within 24 hours of sepsis or septic shock diagnosis and admission to the ICU may predict patient mortality out to 28 days. Furthermore, a secondary endpoint of the SYMON-I study suggested that IL-6 levels within 24 hours of sepsis or septic shock diagnosis and admission to the ICU is a predictor of patient mortality during their hospitalization. Other secondary endpoints suggested that lactate and Sequential Organ Failure Assessment (SOFA), standard clinical tests used for sepsis and septic shock patients, were not predictors of patient mortality out to 28 days. We believe that the findings underscore the potential importance of IL-6 as a predictor and provide new insights into the potential pathways for improving sepsis outcomes.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data analysis from the SYMON-I pilot clinical study, the Company initiated the SYMON-II pivotal clinical study in the third quarter of 2024. The SYMON II clinical study has three components: (1) collection, freezing, and biobanking of patient samples, (2) measuring IL-6 concentrations in the biobanked samples near the end of patient enrollment or after the patient enrollment has completed, and (3) analysis of the IL-6 data with the patient outcomes to see if the established IL-6 cutoff value has been validated for 28-day all-cause mortality. Patient enrollment started during the fourth quarter of 2024. The Company has now successfully completed enrollment of the targeted 750 hospital patients, and it has collected, frozen and biobanked blood samples from the enrolled patients, while also obtaining all related patient data regarding their disease progression and outcomes. The Company has initiated preliminary testing of the samples, and preliminary patient data analysis. The final analytical testing will be performed upon verification and validation of the cartridges in accordance with FDA 820 QSR guidelines. The Company’s goal is to produce and verify these cartridges during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is able to complete the SYMON-II clinical study and the results are positive, the Company intends to use the data generated from SYMON-II to support a 510(k) application to the FDA. This application is currently expected to be based on the following intended use: “Symphony IL-6 is intended for use to determine the IL-6 concentration as an aid in assessing the cumulative 28-day risk of all-cause mortality in conjunction with other laboratory findings and clinical assessments for patients diagnosed with sepsis or septic shock in the ICU.” The Company also plans to present the SYMON-I and SYMON-II results at future national scientific meetings and publish them in peer-reviewed journals, subject to future completion of the SYMON-II study and the results being positive. Subject to achieving needed funding and successfully achieving commercial grade manufacturing with its cartridges, the Company’s plan is to begin testing of samples it is collecting as part of the SYMON-II clinical trial by the end of 2026, with a goal of being in position to submit a 510(k) regulatory application to the FDA during the first half of 2027, and an objective of achieving FDA clearance thereafter.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complete the activities needed for an FDA submission will be contingent upon meeting analytical validation and clinical validation.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plans to manufacture its analyzers through Sanyoseiko and cartridges through both Sanyoseiko and Argonaut, as a contract manufacturing organization (“CMO”), and the Company has entered into commercial agreements with Sanyoseiko and Argonaut governing these matters. Pursuant to statements of work that the Company has begun providing to Sanyoseiko under these agreements, Sanyoseiko will provide end-to-end support for the Symphony platform, including supporting the manufacturing process for analyzers and cartridges (with hardware, software, and design updates), managing raw material sourcing and vendor compliance, and serving as the Company’s contract manufacturing organization for analyzers, cartridges, and related components. Argonaut will provide fill-and-seal of the reagent reservoir, final assembly, labelling, packaging, storage, release criteria and distribution of the cartridges in the US and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the Company will be reliant upon its CMOs, Sanyoseiko and Argonaut, to provide analyzers and cartridges in sufficient quantity and quality to complete the validations for its FDA application. The Company’s FDA application submission could be delayed if the Company encounters any material supply interruptions. In addition, there can be no assurance that the Company will be able to obtain necessary regulatory authorization for the marketing of the Symphony in the United States or elsewhere. There also can be no assurance that the Company will successfully complete any clinical evaluations necessary to receive regulatory clearances, or that the clinical study will demonstrate sufficient effectiveness of the Symphony IL-6 test. The failure to adequately demonstrate the clinical performance of the Symphony IL-6 test could delay or prevent regulatory clearance, which could prevent or result in delays to market launch and could materially harm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FDA regulatory strategy risks and uncertainties, the Company is subject to a number of risks similar to other companies in its industry, including rapid technological change, competition from larger biotechnology companies and dependence on key personnel. Additional risk and uncertainties regarding the Company are described in “Part I – Item 1A. Risk Factors” of the Company’s Annual Report on Form 10-K for the fiscal year ended December 31, 2025 and in in “Part II – Item 1A Risk Factors”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Splits and Increase to Authorized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29, 2026, the Company effected a reverse stock split of its shares of common stock at a ratio of 1-for-4 (the “January 2026 Reverse Stock Split”). All of the Company’s historical share and per share information related to issued and outstanding common stock and outstanding options and warrants exercisable for common stock in these financial statements have been adjusted, on a retroactive basis, to reflect the January 2026 Reverse Stock Split and other reverse stock splits consummated by the Company in prior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annual meeting of stockholders on June 9, 2026, the Company’s stockholders provided the Company’s board of directors with authority to implement an additional reverse stock split at a ratio of up to 1-for-20 (the “Additional Reverse Stock Split”). The Additional Reverse Stock Split may not be implemented if it would reduce the number of publicly held shares of the Company’s common stock to less than 500,000. The Board’s authority to implement the Additional Reverse Stock expires on June 9, 2027. The Board has no present intention of implementing the Additional Reverse Stock Split during the 12-month period for which approval has been obtained. The Board sought approval of the Additional Reverse Stock Split to give the Company flexibility in the future in the event that the Company’s common stock declines in value and no longer meets Nasdaq’s minimum $1.00 minimum bid price requirement.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of the Company have been prepared in conformity with generally accepted accounting principles in the United States (“US GAAP”) consistent with those applied in, and should be read in conjunction with, the Company’s audited financial statements and related footnotes for the year ended December 31, 2025 included in the Company’s Annual Report on Form 10-K. The unaudited condensed consolidated financial statements reflect all adjustments, which include only normal recurring adjustments, necessary for the fair presentation of the Company’s financial position as of June 30, 2026, its results of operations and cash flows for the three and six months ended June 30, 2026 and 2025, in accordance with US GAAP. The unaudited condensed consolidated financial statements do not include all of the information and footnotes required by US GAAP for complete financial statements, as allowed by the relevant U.S. Securities and Exchange Commission (“SEC”) rules and regulations; however, the Company believes that its disclosures are adequate to ensure that the information presented is not misleading. The condensed consolidated financial statements include the accounts of the Company and its wholly owned subsidiary. All intercompany balances and transactions have been eliminated in consolidation.</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for the three and six months ended June 30, 2026 are not necessarily indicative of the results that may be expected for the fiscal year ending December 31, 2026, or any other interim period within this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for the three and six months ended June 30, 2026 and 2025 were prepared under the assumption that the Company will continue as a going concern, which contemplates that the Company will be able to realize assets and discharge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cash and cash equivalents of $9,598,916 and current liabilities of $2,116,641 as of June 30, 2026. The Company has incurred net losses and negative cash flows from operations since its inception and has an accumulated deficit of $45,760,521 as of June 30, 2026. The Company expects that its net cash used in operating activities will continue to be negative over at least the next several years as it attempts to produce product capable of meeting analytical validation and clinical validation and conducts clinical trial work and, if such production and trials are successful, prepares an FDA submission. These financial results and financial position, and the Company’s expected forward-looking outlook of significant negative cash flow in the future, raise substantial doubt with respect to its ability to continue as a going concern. The Company expects that it will be in position to submit a 510(k) regulatory application to the FDA for Symphony during the first half of 2027, assuming that it is able to generate sufficient clinical trial results to support such a submission. If the Company fails to obtain sufficient future financing, its clinical trials and targeted FDA submission timeline could be delayed, and it could be forced to abandon such activities entirely and cease operations, with the possible loss of such properties or assets. If the Company is unable to obtain additional financing as it continues to generate negative cash flow, its board of directors could determine to cause the Company to undertake a process of liquidation under Chapter 7 of applicable U.S. bankruptcy laws, or otherwise seek other protection under such laws. In such event, holders of shares of the Company’s common stock could recoup little, if any, value in such process. The Company currently estimates cash resources will be sufficient to fund its operations through the second quarter of 2027.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financial statements do not include any adjustments related to the recoverability and classification of recorded asset amounts or the amounts and classification of liabilities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i/>
          <w:caps w:val="false"/>
          <w:smallCaps w:val="false"/>
          <w:sz w:val="20"/>
        </w:rPr>
        <w:t xml:space="preserve">. </w:t>
      </w:r>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there were no changes to the significant accounting policies as described in the 2025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Use of Estimates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and disclosures reported in these consolidated financial statements and accompanying notes. Actual results could differ materially from those estimates. The Company evaluates its estimates and assumptions as facts and circumstances dictate. As future events and their effects cannot be determined with precision, actual results could differ from these estimates and assumptions, and those differences could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the Financial Accounting Standards Board, or the FASB, ASC 480, Distinguishing Liabilities from Equity, or ASC 480, and ASC 815 Derivatives and Hedging, or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Finally, the Company determines if the warrants meet the definition of a derivative based on their contractual terms.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at each balance sheet date thereafter. The Company uses the Black Scholes option pricing model to determine fair value. Changes in the estimated fair value of liability-classified warrants are recognized as a non-cash gain or loss on the consolidated statements of operations. The Company also evaluates if changes in contractual terms or other considerations would result in the reclassification of outstanding warrants from liabilities to stockholders’ equity (or vice versa).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ASC 280, Segment Reporting. Management has determined that the Company operates as one operating and reportable segment, as the Chief Executive Officer, who serves as the Chief Operating Decision Maker, evaluates performance of the operating segment and allocates resources based on amounts as reported on the consolidated statements of operations and cash flows. Segment expenses are presented on the Company’s consolidated statements of operations. The operating segment assets are reported on the consolidated balance sheets as total assets. The Company’s operations consist solely of the development of its Symphony diagnostic platform, a near-patient diagnostic platform designed to provide rapid results for critical care settings, and no discrete financial information is produced for separate business components. Accordingly, the consolidated financial statements represent the Company’s single reportable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to common stockholders is computed by dividing the net loss applicable to common stockholders by the weighted-average number of shares of common stock outstanding for the period, without consideration for potentially dilutive securities. Diluted net loss per share is computed by dividing the net loss by the weighted average number of shares of common stock and dilutive common stock equivalents outstanding for the period determined using the treasury stock and if-converted methods. Dilutive common stock equivalents are comprised of options outstanding under the Company’s stock option plan, restricted stock units, and warrants. For all periods presented, there is no difference in the number of shares used to calculate basic and diluted shares outstanding as inclusion of the potentially dilutive securities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dilutive securities not included in the calculation of diluted net loss per share, because to do so would be anti-dilutive, are as follows (in common stock equivalent shares):</w:t>
      </w:r>
    </w:p>
    <w:p>
      <w:pPr>
        <w:pStyle w:val="TextBody"/>
        <w:bidi w:val="0"/>
        <w:spacing w:before="0" w:after="0"/>
        <w:ind w:left="0" w:right="0" w:hanging="0"/>
        <w:jc w:val="left"/>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5540"/>
        <w:gridCol w:w="60"/>
        <w:gridCol w:w="60"/>
        <w:gridCol w:w="980"/>
        <w:gridCol w:w="60"/>
        <w:gridCol w:w="60"/>
        <w:gridCol w:w="60"/>
        <w:gridCol w:w="800"/>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5540" w:type="dxa"/>
            <w:tcBorders>
              <w:bottom w:val="single" w:sz="12" w:space="0" w:color="000000"/>
            </w:tcBorders>
            <w:tcMar>
              <w:bottom w:w="28" w:type="dxa"/>
            </w:tcMar>
            <w:vAlign w:val="center"/>
          </w:tcPr>
          <w:p>
            <w:pPr>
              <w:pStyle w:val="TableContents"/>
              <w:bidi w:val="0"/>
              <w:spacing w:before="0" w:after="283"/>
              <w:jc w:val="left"/>
              <w:rPr>
                <w:b/>
              </w:rPr>
            </w:pPr>
            <w:r>
              <w:rPr>
                <w:b/>
              </w:rPr>
              <w:t>Potentially Dilutive Securities Listing:</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Options to purchase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Warrants for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165</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Class A warrants for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Class B warrants for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January 2024 warrants for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1,682</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January 2024 placement agent warrants for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117</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Class C warrants for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71,873</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Class E warrants for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271,277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271,277</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Series F warrants for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Series F placement agent warrants for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Series G warrants for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3,655,917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Series G placement agent warrants for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255,914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Series H warrants for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3,655,917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Expense Disaggregation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Reporting Comprehensive Income-Expense Disaggregation Disclosures. This change requires disaggregated disclosures of certain categories of expenses that are included in expense line items on the face of the income statement. The disclosures are required on an annual and interim basis. The guidance also requires the total amount of selling expenses to be disclosed and, on an annual basis, the definition of selling expenses. The guidance will be effective for annual reporting periods beginning after December 15, 2026, and for interim periods beginning after December 15, 2027. Early adoption is permitted. This new guidance will result in increased disclosures in the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LICENSE AND SUPPLY AGREEMENT WITH TORAY INDUSTRIES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depends on Toray’s intellectual property for the Symphony cartridges upon which the Symphony platform relies. On October 6, 2020, the Company entered into a License and Supply Agreement (the “License Agreement”) with Toray, providing the Company with an exclusive global license (excluding Japan) to use Toray’s patents and know-how related to the Symphony detection cartridges for manufacturing, marketing and sale of the products (as defined in the License Agreement). In exchange for the license, the Company committed to make two payments of $120,000 each to Toray, both of which were made in 2021. In addition, following the first sale of the cartridges after regulatory clearance, the Company is obligated to make royalty payments to Toray based on the net sales of the cartridges for the period that any underlying patents exist or ten years after the first sale. Following the first sale after obtaining regulatory clearance, the Company will make minimum annual royalty payments of $60,000 for the first year and $100,000 for each year thereafter, which shall be creditable against any royalties owed to Toray in such calendar year.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23, 2023, the Company and Toray entered into an Amended and Restated License Agreement (the “New Toray License Agreement”) and a Master Supply Agreement (the “New Toray Supply Agreement”). Under the New Toray License Agreement, the Company continues to license from Toray intellectual property rights needed to manufacture single-use test cartridges, and the Company has received the right to sublicense certain Toray intellectual property to Sanyoseiko and Argonaut in connection with the ongoing agreement with the Company to manufacture the Company’s Symphony analyzers and cartridges (including in connection with the Company’s clinical trials). In addition, the New Toray License Agreement provided for the transfer of certain technology related to the cartridges to Sanyoseiko and Argonaut. The royalty payment percentage payable by the Company to Toray was reduced under the New Toray License Agreement from 15% to 7.5% (or less in certain circumstances) of net sales of certain cartridges for a term of 10 years. A 50% reduction in the royalty rate applies upon expiry of applicable Toray patents on a product-by-product and country-by-country basis. The New Toray License Agreement contemplates that applicable royalty payment obligations from the Company to Toray for other products will be determined separately by the parties in the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23, 2025, the Company entered into an amendment (the “Amendment”) to the New Toray License Agreement and the New Toray Supply Agreement with Toray. The Amendment provided that the deadline under the New Toray License Agreement for the Company to establish an alternative manufacturing site for the Company’s Symphony cartridges would be extended from October 23, 2025 to October 23, 2026, and the Company has agreed to use its best efforts to establish the site by such date. The Amendment confirms that Toray has provided to the Company all applicable know-how required under the New Toray License Agreement and is not under any further obligation to provide know-how or technical assistance to the Company. Pursuant to the Amendment, the Company paid $71,212 to Toray for a final supply of certain chip components prior to the expiration of the New Toray Supply Agreement, which occurred on October 23, 2025. There were no sales of or revenues from the cartridges during the three and six-month periods ended June 30, 2026 and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completed cartridge manufacturing process redevelopment through Sanyoseiko, a third-party contractor who is managing such manufacturing process. The Company is proceeding with verification and validation testing and commercial manufacturing. At June 30, 2026 and 2025, there were no amounts accrued related to the New Toray License Agreement or the License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June 2026 Private Placement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2026, the Company entered into a securities purchase agreement and registration rights agreement with certain institutional, accredited investors pursuant to which the Company sold in a private placement (i) pre-funded warrants to purchase up to 3,655,917 shares of common stock (the “June 2026 Pre-Funded Warrants”), (ii) Series G warrants (the “Series G Warrants”) to purchase up to 3,655,917 shares of common stock and (iii) Series H warrants (the “Series H Warrants”) to purchase up to 3,655,917 shares of common stock. The combined price of the securities sold in the private placement was $2.3249 per Pre-Funded Warrant and accompanying Series G Warrant and Series H Warrant. The June 2026 Pre-Funded Warrants are immediately exercisable for shares of common stock at an exercise price of $0.0001 per share, and expire once exercised in full. As of August 7, 2026, 3,433,336 of the June 2026 Pre-Funded Warrants have been exercised and 222,581 remain unexercised and outstanding. The Series G Warrants and Series H Warrants are immediately exercisable for shares of common stock at an exercise price of $2.075 per share. The Series G Warrants expire on June 26, 2031 and the Series H Warrants expire on June 26, 2028.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closed on June 5, 2026. The gross proceeds to the Company from the sale of the securities sold in the private placement were approximately $8.5 million. The Company incurred total offering costs of $942,262, including a 7% financial advisory fee to H.C. Wainwright &amp; Co. (“Wainwright”), the placement agent, of approximately $595,000. Under the terms of the Company’s engagement letter with Wainwright, the Company issued Wainwright (or its designees) warrants to purchase up to 255,914 shares of common stock on the same terms as the Series G Warrants, except that the exercise price is $2.9063 per share (the “June 2026 Placement Agent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private placement, the Company filed a registration statement on Form S-3, which became effective on June 26, 2026 to register 11,223,665 shares of common stock (including any shares of common stock issued in the future pursuant to the Series G Warrants, the Series H Warrants or June 2026 Placement Agent Warrants) for resale in public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the warrants will not have the right to exercise any portion of such warrants if such holder, together with its affiliates, would beneficially own in excess of 4.99% or 9.99% (at the initial election of the holder) of the number of shares of the Company’s common stock outstanding immediately after giving effect to such exercise, provided that a holder may increase or decrease such beneficial ownership limitation up to, and no higher than, 9.99%, by giving 61 calendar days’ notice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March 2026 Private Placement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14, 2026, the Company entered into a securities purchase agreement pursuant to which the Company issued and sold to the purchasers named therein an aggregate of 62,500 shares of the Company’s common stock at a price of $2.00 per share. The transaction closed on March 17, 2026 for aggregate gross proceeds to the Company of $125,000.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purchasers were Neil Dey, President and Chief Executive Officer of the Company and a director, Donald Chase, Chairman of the Board, and Svetlana Dey, Douglas Wurth and Fred Zeidman, each of whom are Company directors. Each of the purchasers acquired 12,500 shares of common stock for their own individual account. See Note 7 Related Party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was not registered under the Securities Act of 1933, as amended (the “Securities Act”), and the shares were issued and sold in a private placement pursuant to Section 4(a)(2) of the Securities Act and/or Rule 506 of Regulation D as promulgated by the Securities and Exchange Commission under the Securities Act. Each of the purchasers represented that it is an “accredited investor” within the meaning of Rule 501 of Regulation D, was acquiring the shares for his or her own account, and had no direct or indirect arrangement or understanding with any other persons to distribute or regarding the distribution of such shares. The shares were offered and sold without any general solicitation by the Company or its representatives. The Company has not agreed to provide registration rights with respect to 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October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9, 2025, the Company entered into a securities purchase agreement with two institutional investors pursuant to which the Company sold in a private placement (i) an aggregate of 43,750 shares of common stock and prefunded warrants to purchase up to 518,750 shares of common stock (the “October 2025 Prefunded Warrants”), and (ii) Series F warrants (the “Series F Warrants”) to purchase up to 1,125,000 shares of common stock. The combined price of the securities sold in the private placement was $8.00 per share of common stock (or prefunded warrant in lieu thereof, in which case such price was reduced by $0.0004) and accompanying Series F Warrants to acquire two shares of common stock. The October 2025 Prefunded Warrants were exercisable for shares of common stock at an exercise price of $0.0004 per share, are immediately exercisable and expire once exercised in full. As of March 31, 2026, all of the October 2025 Prefunded Warrants were exercised in full. The Series F Warrants are exercisable for shares of common stock at an exercise price of $7.00 per share, are immediately exercisable and expire five and one-half years from the date of issuance.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closed on October 10, 2025. The gross proceeds to the Company from the sale of the securities sold in the private placement were approximately $4.5 million. The Company incurred total offering costs of $787,755, including a 8% financial advisory fee to Rodman and Renshaw LLC (“Rodman”), the placement agent, of approximately $360,000. Under the terms of the Company’s engagement letter with Rodman, the Company issued Rodman’s designees warrants to purchase up to 45,000 of common stock at an exercise price of $10.00 per share, which expire 5.5 years from the date of issuance (the “October 2025 Placement Agent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private placement, the Company filed a registration statement on Form S-3, which became effective on November 26, 2025 to register 1,732,500 shares of common stock (including any shares of common stock issued in the future pursuant to the Series F Warrants or October 2025 Placement Agent Warrants) for resale in public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the warrants will not have the right to exercise any portion of such warrants if such holder, together with its affiliates, would beneficially own in excess of 4.99% or 9.99% (at the initial election of the holder) of the number of shares of the Company’s common stock outstanding immediately after giving effect to such exercise, provided that a holder may increase or decrease such beneficial ownership limitation up to, and no higher than, 9.99%, by giving 61 calendar days’ notice to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2025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7, 2025, the Company entered into inducement letter agreements with certain existing holders of the Company’s Class C warrants (the “Class C Warrants”), pursuant to which such holders agreed to purchase an aggregate of 271,277 shares of the Company’s common stock (or, to the extent the applicable holder would have exceeded a specified beneficial ownership limitation, prefunding the future exercise of such warrants, other than a remaining $0.0004 per share exercise price). The Class C Warrants were originally issued on June 28, 2024 for an exercise price of $392.00 per share and were subsequently reduced to $65.20 per share pursuant to stockholder approval on August 21, 2024. Pursuant to the inducement letter agreements, the applicable holders agreed to exercise their Series C Warrants at a reduced exercise price of $13.68 per share, and to purchase an equivalent number of new Class E warrants (the “Class E Warrants”) for an additional $0.50 per share. The Class E Warrants have an exercise price of $13.68 per share and expire on April 8, 2030.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closed on April 8, 2025. The exercise of the Class C Warrants resulted in the Company issuing 170,551 shares of common stock at closing pursuant to the inducement letters, and the exercise price of 100,726 of the Class C Warrants being amended to $0.0004 per share. As of December 31, 2025, all such reduced exercise price Class C Warrants had been exercised.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gross proceeds to the Company from the exercise of the Class C Warrants and the sale of the new Class E Warrants were $3,846,692. The Company incurred total cash offering costs of $464,670, including a 10% financial advisory fee to Aegis Capital Corp. of $384,670.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modification of the terms or conditions of the Class C Warrants in this transaction is treated as an exchange of the original instrument for a new instrument. Using the Black Scholes option pricing model, the fair value of the Series C Warrants immediately prior to the inducement transaction was $479,299 and immediately after the inducement transaction was $1,590,930. In addition, Series E Warrants with a fair value of $1,730,652 were provided as part of the inducement transaction for a purchase price of $135,638. The Company recorded additional equity issuance costs of $2,706,645 related to the modification of the Series C Warrants and issuance of Series E Warrants related to the inducement transaction. As this equity issuance cost was a non-cash transaction, the Company recorded an increase to additional paid-in capital to offset the expense.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with regard to warrants outstanding at June 30, 2026:</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3965"/>
        <w:gridCol w:w="60"/>
        <w:gridCol w:w="60"/>
        <w:gridCol w:w="980"/>
        <w:gridCol w:w="60"/>
        <w:gridCol w:w="60"/>
        <w:gridCol w:w="1550"/>
        <w:gridCol w:w="60"/>
        <w:gridCol w:w="140"/>
        <w:gridCol w:w="1100"/>
        <w:gridCol w:w="60"/>
        <w:gridCol w:w="60"/>
        <w:gridCol w:w="178"/>
        <w:gridCol w:w="952"/>
        <w:gridCol w:w="75"/>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bottom w:val="single" w:sz="12" w:space="0" w:color="000000"/>
            </w:tcBorders>
            <w:tcMar>
              <w:bottom w:w="28" w:type="dxa"/>
            </w:tcMar>
            <w:vAlign w:val="center"/>
          </w:tcPr>
          <w:p>
            <w:pPr>
              <w:pStyle w:val="TableContents"/>
              <w:bidi w:val="0"/>
              <w:spacing w:before="0" w:after="283"/>
              <w:jc w:val="center"/>
              <w:rPr>
                <w:b/>
              </w:rPr>
            </w:pPr>
            <w:r>
              <w:rPr>
                <w:b/>
              </w:rPr>
              <w:t>Exercisable for</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Life</w:t>
              <w:br/>
              <w:t>(in Years)</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June 2026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2,706,948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Series 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3,655,917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center"/>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5.0</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June 2026 Placement Agent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255,914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5.0</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Series H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3,655,917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center"/>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Series 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4.8</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Series F Placement Agent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center"/>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4.8</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Class 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271,277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Class C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center"/>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3.0</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January 2024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January 2024 Placement Agent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center"/>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2.5</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August 2023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11,584.00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August 2023 Placement Agent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center"/>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14,736.00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2.2</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Class A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0.3</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Class B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center"/>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320,000.00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0.3</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Other Pre-2024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June 2026 Private Placement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2026, the Company entered into a securities purchase agreement and registration rights agreement with certain institutional, accredited investors pursuant to which the Company sold in a private placement (i) the June 2026 Pre-Funded Warrants to purchase up to 3,655,917 shares of common stock, and (ii) Series G Warrants to purchase up to 3,655,917 shares of common stock and (iii) Series H Warrants to purchase up to 3,655,917 shares of common stock. The Pre-Funded Warrants are immediately exercisable for shares of common stock at an exercise price of $0.0001 per share, and expire once exercised in full. As of August 7, 2026, 3,433,336 of the June 2026 Pre-Funded Warrants have been exercised and 222,581 remain unexercised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2026 Series G Warrants, June 2026 Placement Agent Warrants and Series H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Series G Warrants and Series H Warrants are immediately exercisable for shares of common stock at an exercise price of $2.075 per share. The Series G Warrants expire on June 26, 2031 and the Series H Warrants expire on June 26, 2028. Under the terms of the Company’s engagement letter with Wainwright, the Company issued Wainwright (or its designees) warrants to purchase up to 255,914 shares of common stock on the same terms as the Series G Warrants, except that the exercise price is $2.906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October 2025 Private Placement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9, 2025, the Company entered into a securities purchase agreement with two institutional investors pursuant to which the Company sold in a private placement (i) an aggregate of 43,750 shares of common stock and prefunded warrants to purchase up to 518,750 shares of common stock. The October 2025 Prefunded Warrants were exercisable for shares of common stock at an exercise price of $0.0004 per share, were immediately exercisable and expired once exercised in full. As of March 31, 2026, all of the October 2025 Prefunded Warrants were exercised in full.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October 2025 Series 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October 2025 private placement, the Company issued 1,125,000 Series F warrants for common stock with an exercise price of $7.00 per share and 45,000 Placement Agent Series F warrants for common stock with an exercise price of $10.00 per share. The Series F warrants and Placement Agent Series F warrants became exercisable immediately upon issuance and for a period of five and one half years following the date of issuance.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2025 Class 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April 2025 private placement, certain existing holders of the Company’s Class C Warrants agreed to purchase an aggregate of 271,277 shares of the Company’s common stock. As a part of the April 2025 private placement, the Company sold 271,277 Class E Warrants to the Class C Warrant exercising holders for $0.50 per warrant. The Class E warrants have an exercise price of $13.68 per share, became exercisable immediately upon issuance and for a period of five years following the date of issuance.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described above include certain rights upon a “fundamental transaction” (as defined in such warrants), including the right of the holders thereof to receive from the Company or a successor entity cash or the same type or form of consideration (and in the same proportion) that is being offered and paid to the holders of common stock in such fundamental transaction in the amount of the Black Scholes value (as defined in such warrants) of the unexercised portion of the applicable warrants on the date of the consummation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Company’s warrants to acquire shares of common stock were accounted for as equity classified financial instruments as they meet the requirements for equity classification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STOCK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Incentive Plans</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2018, the Company adopted the 2018 Stock Incentive Plan (the “2018 Plan”) for employees, consultants, and directors. The 2018 Plan, which is administered by the Board of Directors, permits the Company to grant incentive and nonqualified stock options for the purchase of common stock, and restricted stock awards. The maximum number of shares reserved for issuance under the 2018 Plan is 20. At June 30, 2026, there were 9 shares available for grant under the 2018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6, 2021, the Company’s board of directors and stockholders approved and adopted the Bluejay Diagnostics, Inc. 2021 Stock Plan (the “2021 Stock Plan”). A total of 61 shares of common stock were approved to be initially reserved for issuance under the 2021 Stock Plan. On April 28, 2026, the Company’s board of directors approved Amendment No. 1 to the 2021 Stock Plan, which was further approved by the shareholders on June 9, 2026, to increase the number of shares of common stock issuable by 600,000. At June 30, 2026, there were 600,025 shares available for grant under the 2021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Award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stock option activity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8526" w:type="dxa"/>
        <w:jc w:val="left"/>
        <w:tblInd w:w="0" w:type="dxa"/>
        <w:tblLayout w:type="fixed"/>
        <w:tblCellMar>
          <w:top w:w="0" w:type="dxa"/>
          <w:left w:w="0" w:type="dxa"/>
          <w:bottom w:w="0" w:type="dxa"/>
          <w:right w:w="0" w:type="dxa"/>
        </w:tblCellMar>
      </w:tblPr>
      <w:tblGrid>
        <w:gridCol w:w="3350"/>
        <w:gridCol w:w="60"/>
        <w:gridCol w:w="356"/>
        <w:gridCol w:w="833"/>
        <w:gridCol w:w="60"/>
        <w:gridCol w:w="60"/>
        <w:gridCol w:w="179"/>
        <w:gridCol w:w="875"/>
        <w:gridCol w:w="60"/>
        <w:gridCol w:w="60"/>
        <w:gridCol w:w="206"/>
        <w:gridCol w:w="1103"/>
        <w:gridCol w:w="60"/>
        <w:gridCol w:w="60"/>
        <w:gridCol w:w="220"/>
        <w:gridCol w:w="909"/>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 xml:space="preserve">Stock </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 xml:space="preserve">Price Per </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 xml:space="preserve">Life in </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Intrinsic</w:t>
              <w:br/>
              <w:t>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Cancelled and forfeited</w:t>
            </w:r>
          </w:p>
        </w:tc>
        <w:tc>
          <w:tcPr>
            <w:tcW w:w="60" w:type="dxa"/>
            <w:tcBorders/>
            <w:shd w:fill="FFFFFF" w:val="clear"/>
            <w:vAlign w:val="center"/>
          </w:tcPr>
          <w:p>
            <w:pPr>
              <w:pStyle w:val="TableContents"/>
              <w:bidi w:val="0"/>
              <w:spacing w:before="0" w:after="283"/>
              <w:jc w:val="left"/>
              <w:rPr/>
            </w:pPr>
            <w:r>
              <w:rPr/>
              <w:t> </w:t>
            </w:r>
          </w:p>
        </w:tc>
        <w:tc>
          <w:tcPr>
            <w:tcW w:w="3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3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3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20,376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no stock options or restricted stock awards granted during the six months ended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the Company recorded stock-based compensation expense as follows:</w:t>
      </w:r>
    </w:p>
    <w:p>
      <w:pPr>
        <w:pStyle w:val="TextBody"/>
        <w:bidi w:val="0"/>
        <w:spacing w:before="0" w:after="0"/>
        <w:ind w:left="0" w:right="0" w:hanging="0"/>
        <w:jc w:val="left"/>
        <w:rPr>
          <w:caps w:val="false"/>
          <w:smallCaps w:val="false"/>
        </w:rPr>
      </w:pPr>
      <w:r>
        <w:rPr>
          <w:caps w:val="false"/>
          <w:smallCaps w:val="false"/>
        </w:rPr>
        <w:t> </w:t>
      </w:r>
    </w:p>
    <w:tbl>
      <w:tblPr>
        <w:tblW w:w="7573" w:type="dxa"/>
        <w:jc w:val="left"/>
        <w:tblInd w:w="0" w:type="dxa"/>
        <w:tblLayout w:type="fixed"/>
        <w:tblCellMar>
          <w:top w:w="0" w:type="dxa"/>
          <w:left w:w="0" w:type="dxa"/>
          <w:bottom w:w="0" w:type="dxa"/>
          <w:right w:w="0" w:type="dxa"/>
        </w:tblCellMar>
      </w:tblPr>
      <w:tblGrid>
        <w:gridCol w:w="3065"/>
        <w:gridCol w:w="60"/>
        <w:gridCol w:w="297"/>
        <w:gridCol w:w="203"/>
        <w:gridCol w:w="117"/>
        <w:gridCol w:w="117"/>
        <w:gridCol w:w="273"/>
        <w:gridCol w:w="1241"/>
        <w:gridCol w:w="95"/>
        <w:gridCol w:w="60"/>
        <w:gridCol w:w="297"/>
        <w:gridCol w:w="203"/>
        <w:gridCol w:w="120"/>
        <w:gridCol w:w="120"/>
        <w:gridCol w:w="281"/>
        <w:gridCol w:w="914"/>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241" w:type="dxa"/>
            <w:tcBorders/>
            <w:shd w:fill="CCEEFF" w:val="clear"/>
            <w:vAlign w:val="center"/>
          </w:tcPr>
          <w:p>
            <w:pPr>
              <w:pStyle w:val="TableContents"/>
              <w:bidi w:val="0"/>
              <w:spacing w:before="0" w:after="283"/>
              <w:jc w:val="right"/>
              <w:rPr/>
            </w:pPr>
            <w:r>
              <w:rPr/>
              <w:t>(1,563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914" w:type="dxa"/>
            <w:tcBorders/>
            <w:shd w:fill="CCEEFF" w:val="clear"/>
            <w:vAlign w:val="center"/>
          </w:tcPr>
          <w:p>
            <w:pPr>
              <w:pStyle w:val="TableContents"/>
              <w:bidi w:val="0"/>
              <w:spacing w:before="0" w:after="283"/>
              <w:jc w:val="right"/>
              <w:rPr/>
            </w:pPr>
            <w:r>
              <w:rPr/>
              <w:t>(450</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FFFFFF" w:val="clear"/>
            <w:tcMar>
              <w:bottom w:w="28" w:type="dxa"/>
            </w:tcMar>
            <w:vAlign w:val="center"/>
          </w:tcPr>
          <w:p>
            <w:pPr>
              <w:pStyle w:val="TableContents"/>
              <w:bidi w:val="0"/>
              <w:spacing w:before="0" w:after="283"/>
              <w:jc w:val="right"/>
              <w:rPr/>
            </w:pPr>
            <w:r>
              <w:rPr/>
              <w:t>199</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Total stock-based compensation</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1" w:type="dxa"/>
            <w:tcBorders>
              <w:bottom w:val="double" w:sz="10" w:space="0" w:color="000000"/>
            </w:tcBorders>
            <w:shd w:fill="CCEEFF" w:val="clear"/>
            <w:tcMar>
              <w:bottom w:w="28" w:type="dxa"/>
            </w:tcMar>
            <w:vAlign w:val="center"/>
          </w:tcPr>
          <w:p>
            <w:pPr>
              <w:pStyle w:val="TableContents"/>
              <w:bidi w:val="0"/>
              <w:spacing w:before="0" w:after="283"/>
              <w:jc w:val="right"/>
              <w:rPr/>
            </w:pPr>
            <w:r>
              <w:rPr/>
              <w:t>(1,563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4" w:type="dxa"/>
            <w:tcBorders>
              <w:bottom w:val="double" w:sz="10" w:space="0" w:color="000000"/>
            </w:tcBorders>
            <w:shd w:fill="CCEEFF" w:val="clear"/>
            <w:tcMar>
              <w:bottom w:w="28" w:type="dxa"/>
            </w:tcMar>
            <w:vAlign w:val="center"/>
          </w:tcPr>
          <w:p>
            <w:pPr>
              <w:pStyle w:val="TableContents"/>
              <w:bidi w:val="0"/>
              <w:spacing w:before="0" w:after="283"/>
              <w:jc w:val="right"/>
              <w:rPr/>
            </w:pPr>
            <w:r>
              <w:rPr/>
              <w:t>(251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2026, there was no unrecognized compensation expense related to non-vested stock option awards and non-vested restricted stock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RELATED PARTY TRANSACTIONS</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Private Placement</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14, 2026, the Company entered into a securities purchase agreement pursuant to which the Company issued and sold to the purchasers named therein an aggregate of 62,500 shares of the Company’s common stock at a price of $2.00 per share. The transaction closed on March 17, 2026 for aggregate gross proceeds to the Company of $125,000.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purchasers were Neil Dey, President and Chief Executive Officer of the Company and a director, Donald Chase, Chairman of the Board, and Svetlana Dey, Douglas Wurth and Fred Zeidman, each of whom are directors. Each of the purchasers acquired 12,500 shares of common stock for their own individual account.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NanoHybrids,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2021, the Company entered into an agreement with NanoHybrids, Inc. (“NanoHybrids”), an entity in which the Company’s former Chief Technology Officer, Jason Cook, served as Chief Executive Officer of prior to becoming employed by the Company, to enable NanoHybrids to utilize the Company’s research and development staff and laboratory facility (the “Sharing and Services Agreement”). Any hours worked by Company employees for NanoHybrids were billed to NanoHybrids at a bill rate of the respective employee’s fully burdened personnel cost plus 10%. Dr. Cook was the majority shareholder of NanoHybrids during the time of this arrangement. The table below summarizes the amounts earned and due from NanoHybrids as of and for the three and six-month periods ended June 30, 2026 and 2025: </w:t>
      </w:r>
    </w:p>
    <w:p>
      <w:pPr>
        <w:pStyle w:val="TextBody"/>
        <w:bidi w:val="0"/>
        <w:spacing w:before="0" w:after="0"/>
        <w:ind w:left="5" w:right="0" w:hanging="0"/>
        <w:jc w:val="both"/>
        <w:rPr>
          <w:caps w:val="false"/>
          <w:smallCaps w:val="false"/>
        </w:rPr>
      </w:pPr>
      <w:r>
        <w:rPr>
          <w:caps w:val="false"/>
          <w:smallCaps w:val="false"/>
        </w:rPr>
        <w:t> </w:t>
      </w:r>
    </w:p>
    <w:tbl>
      <w:tblPr>
        <w:tblW w:w="9597" w:type="dxa"/>
        <w:jc w:val="left"/>
        <w:tblInd w:w="0" w:type="dxa"/>
        <w:tblLayout w:type="fixed"/>
        <w:tblCellMar>
          <w:top w:w="0" w:type="dxa"/>
          <w:left w:w="0" w:type="dxa"/>
          <w:bottom w:w="0" w:type="dxa"/>
          <w:right w:w="0" w:type="dxa"/>
        </w:tblCellMar>
      </w:tblPr>
      <w:tblGrid>
        <w:gridCol w:w="5000"/>
        <w:gridCol w:w="60"/>
        <w:gridCol w:w="301"/>
        <w:gridCol w:w="204"/>
        <w:gridCol w:w="129"/>
        <w:gridCol w:w="129"/>
        <w:gridCol w:w="301"/>
        <w:gridCol w:w="1204"/>
        <w:gridCol w:w="60"/>
        <w:gridCol w:w="60"/>
        <w:gridCol w:w="297"/>
        <w:gridCol w:w="203"/>
        <w:gridCol w:w="100"/>
        <w:gridCol w:w="100"/>
        <w:gridCol w:w="234"/>
        <w:gridCol w:w="1140"/>
        <w:gridCol w:w="75"/>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5000" w:type="dxa"/>
            <w:tcBorders/>
            <w:shd w:fill="CCEEFF" w:val="clear"/>
            <w:vAlign w:val="center"/>
          </w:tcPr>
          <w:p>
            <w:pPr>
              <w:pStyle w:val="TableContents"/>
              <w:bidi w:val="0"/>
              <w:spacing w:before="0" w:after="283"/>
              <w:jc w:val="left"/>
              <w:rPr/>
            </w:pPr>
            <w:r>
              <w:rPr/>
              <w:t>Income from NanoHybrids included in other income</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204" w:type="dxa"/>
            <w:tcBorders/>
            <w:shd w:fill="CCEEFF" w:val="clear"/>
            <w:vAlign w:val="center"/>
          </w:tcPr>
          <w:p>
            <w:pPr>
              <w:pStyle w:val="TableContents"/>
              <w:bidi w:val="0"/>
              <w:spacing w:before="0" w:after="283"/>
              <w:jc w:val="righ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6,873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00" w:type="dxa"/>
            <w:tcBorders/>
            <w:shd w:fill="FFFFFF" w:val="clear"/>
            <w:vAlign w:val="center"/>
          </w:tcPr>
          <w:p>
            <w:pPr>
              <w:pStyle w:val="TableContents"/>
              <w:bidi w:val="0"/>
              <w:spacing w:before="0" w:after="283"/>
              <w:jc w:val="left"/>
              <w:rPr/>
            </w:pPr>
            <w:r>
              <w:rPr/>
              <w:t>Cash receipts from NanoHybrids</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w:t>
            </w:r>
          </w:p>
        </w:tc>
        <w:tc>
          <w:tcPr>
            <w:tcW w:w="204" w:type="dxa"/>
            <w:tcBorders/>
            <w:shd w:fill="FFFFFF" w:val="clear"/>
            <w:vAlign w:val="center"/>
          </w:tcPr>
          <w:p>
            <w:pPr>
              <w:pStyle w:val="TableContents"/>
              <w:bidi w:val="0"/>
              <w:spacing w:before="0" w:after="283"/>
              <w:jc w:val="right"/>
              <w:rPr/>
            </w:pPr>
            <w:r>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6,873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w:t>
            </w:r>
          </w:p>
        </w:tc>
        <w:tc>
          <w:tcPr>
            <w:tcW w:w="203"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1140" w:type="dxa"/>
            <w:tcBorders/>
            <w:shd w:fill="FFFFFF" w:val="clear"/>
            <w:vAlign w:val="center"/>
          </w:tcPr>
          <w:p>
            <w:pPr>
              <w:pStyle w:val="TableContents"/>
              <w:bidi w:val="0"/>
              <w:spacing w:before="0" w:after="283"/>
              <w:jc w:val="right"/>
              <w:rPr/>
            </w:pPr>
            <w:r>
              <w:rPr/>
              <w:t>21,437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balances due as of June 30, 2026 and December 31, 2025.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2025, the Company entered into a settlement and release agreement with Nanohybrids that terminated the respective parties’ obligations under the Sharing and Services Agreement, and memorialized that prior discussions between the parties regarding a potential sale of Nanohybrids to the Company (the “Strategic Transaction Discussions”) were terminated. Under the terms of such agreement, the Company agreed to make payment of $50,000 to Nanohybrids and reimburse Nanohybrids for up to $30,000 in reasonable and documented attorneys’ fees that Nanohybrids had previously incurred in connection with the Strategic Transaction Discussions. The Company and Nanohybrids (including Dr. Cook for this limited purpose) each also provided the other with releases related to the Sharing and Services Agreement and the Strategic Transaction Discussions.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foregoing agreements was approved in advance by the Audit Committee of the Company’s Board of Directors.</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PROPERTY AND EQUIPMENT</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at June 30, 2026 and December 31, 2025:</w:t>
      </w:r>
    </w:p>
    <w:p>
      <w:pPr>
        <w:pStyle w:val="TextBody"/>
        <w:bidi w:val="0"/>
        <w:spacing w:before="0" w:after="0"/>
        <w:ind w:left="5" w:right="0" w:hanging="0"/>
        <w:jc w:val="both"/>
        <w:rPr>
          <w:caps w:val="false"/>
          <w:smallCaps w:val="false"/>
        </w:rPr>
      </w:pPr>
      <w:r>
        <w:rPr>
          <w:caps w:val="false"/>
          <w:smallCaps w:val="false"/>
        </w:rPr>
        <w:t> </w:t>
      </w:r>
    </w:p>
    <w:tbl>
      <w:tblPr>
        <w:tblW w:w="9515" w:type="dxa"/>
        <w:jc w:val="left"/>
        <w:tblInd w:w="0" w:type="dxa"/>
        <w:tblLayout w:type="fixed"/>
        <w:tblCellMar>
          <w:top w:w="0" w:type="dxa"/>
          <w:left w:w="0" w:type="dxa"/>
          <w:bottom w:w="0" w:type="dxa"/>
          <w:right w:w="0" w:type="dxa"/>
        </w:tblCellMar>
      </w:tblPr>
      <w:tblGrid>
        <w:gridCol w:w="3245"/>
        <w:gridCol w:w="60"/>
        <w:gridCol w:w="3350"/>
        <w:gridCol w:w="60"/>
        <w:gridCol w:w="140"/>
        <w:gridCol w:w="980"/>
        <w:gridCol w:w="95"/>
        <w:gridCol w:w="60"/>
        <w:gridCol w:w="176"/>
        <w:gridCol w:w="1239"/>
        <w:gridCol w:w="110"/>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0" w:type="dxa"/>
            <w:tcBorders>
              <w:bottom w:val="single" w:sz="12" w:space="0" w:color="000000"/>
            </w:tcBorders>
            <w:tcMar>
              <w:bottom w:w="28" w:type="dxa"/>
            </w:tcMar>
            <w:vAlign w:val="center"/>
          </w:tcPr>
          <w:p>
            <w:pPr>
              <w:pStyle w:val="TableContents"/>
              <w:bidi w:val="0"/>
              <w:spacing w:before="0" w:after="283"/>
              <w:jc w:val="center"/>
              <w:rPr>
                <w:b/>
              </w:rPr>
            </w:pPr>
            <w:r>
              <w:rPr>
                <w:b/>
              </w:rPr>
              <w:t>Depreciable</w:t>
              <w:br/>
              <w:t>lives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Construction-in-process</w:t>
            </w:r>
          </w:p>
        </w:tc>
        <w:tc>
          <w:tcPr>
            <w:tcW w:w="60" w:type="dxa"/>
            <w:tcBorders/>
            <w:shd w:fill="CCEEFF" w:val="clear"/>
            <w:vAlign w:val="center"/>
          </w:tcPr>
          <w:p>
            <w:pPr>
              <w:pStyle w:val="TableContents"/>
              <w:bidi w:val="0"/>
              <w:spacing w:before="0" w:after="283"/>
              <w:jc w:val="left"/>
              <w:rPr/>
            </w:pPr>
            <w:r>
              <w:rPr/>
              <w:t> </w:t>
            </w:r>
          </w:p>
        </w:tc>
        <w:tc>
          <w:tcPr>
            <w:tcW w:w="33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1,428,197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1,279,173</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Manufacturing equipment</w:t>
            </w:r>
          </w:p>
        </w:tc>
        <w:tc>
          <w:tcPr>
            <w:tcW w:w="60" w:type="dxa"/>
            <w:tcBorders/>
            <w:shd w:fill="FFFFFF" w:val="clear"/>
            <w:vAlign w:val="center"/>
          </w:tcPr>
          <w:p>
            <w:pPr>
              <w:pStyle w:val="TableContents"/>
              <w:bidi w:val="0"/>
              <w:spacing w:before="0" w:after="283"/>
              <w:jc w:val="left"/>
              <w:rPr/>
            </w:pPr>
            <w:r>
              <w:rPr/>
              <w:t> </w:t>
            </w:r>
          </w:p>
        </w:tc>
        <w:tc>
          <w:tcPr>
            <w:tcW w:w="3350" w:type="dxa"/>
            <w:tcBorders/>
            <w:shd w:fill="FFFFFF" w:val="clear"/>
            <w:vAlign w:val="center"/>
          </w:tcPr>
          <w:p>
            <w:pPr>
              <w:pStyle w:val="TableContents"/>
              <w:bidi w:val="0"/>
              <w:spacing w:before="0" w:after="283"/>
              <w:jc w:val="center"/>
              <w:rPr/>
            </w:pPr>
            <w:r>
              <w:rPr/>
              <w:t>3-5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239,872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239,872</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Furniture, Fixtures and equipment</w:t>
            </w:r>
          </w:p>
        </w:tc>
        <w:tc>
          <w:tcPr>
            <w:tcW w:w="60" w:type="dxa"/>
            <w:tcBorders/>
            <w:shd w:fill="CCEEFF" w:val="clear"/>
            <w:vAlign w:val="center"/>
          </w:tcPr>
          <w:p>
            <w:pPr>
              <w:pStyle w:val="TableContents"/>
              <w:bidi w:val="0"/>
              <w:spacing w:before="0" w:after="283"/>
              <w:jc w:val="left"/>
              <w:rPr/>
            </w:pPr>
            <w:r>
              <w:rPr/>
              <w:t> </w:t>
            </w:r>
          </w:p>
        </w:tc>
        <w:tc>
          <w:tcPr>
            <w:tcW w:w="3350" w:type="dxa"/>
            <w:tcBorders/>
            <w:shd w:fill="CCEEFF" w:val="clear"/>
            <w:vAlign w:val="center"/>
          </w:tcPr>
          <w:p>
            <w:pPr>
              <w:pStyle w:val="TableContents"/>
              <w:bidi w:val="0"/>
              <w:spacing w:before="0" w:after="283"/>
              <w:jc w:val="center"/>
              <w:rPr/>
            </w:pPr>
            <w:r>
              <w:rPr/>
              <w:t>3-5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116,782</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350" w:type="dxa"/>
            <w:tcBorders/>
            <w:shd w:fill="FFFFFF" w:val="clear"/>
            <w:vAlign w:val="center"/>
          </w:tcPr>
          <w:p>
            <w:pPr>
              <w:pStyle w:val="TableContents"/>
              <w:bidi w:val="0"/>
              <w:spacing w:before="0" w:after="283"/>
              <w:jc w:val="center"/>
              <w:rPr/>
            </w:pPr>
            <w:r>
              <w:rPr/>
              <w:t>Shorter of useful life or life of lease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43,231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43,231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1,843,971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1,679,058</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3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(200,574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(144,617</w:t>
            </w:r>
          </w:p>
        </w:tc>
        <w:tc>
          <w:tcPr>
            <w:tcW w:w="110" w:type="dxa"/>
            <w:tcBorders/>
            <w:shd w:fill="FFFFFF" w:val="clear"/>
            <w:vAlign w:val="center"/>
          </w:tcPr>
          <w:p>
            <w:pPr>
              <w:pStyle w:val="TableContents"/>
              <w:bidi w:val="0"/>
              <w:spacing w:before="0" w:after="283"/>
              <w:jc w:val="left"/>
              <w:rPr/>
            </w:pPr>
            <w:r>
              <w:rPr/>
              <w:t>)</w:t>
            </w:r>
          </w:p>
        </w:tc>
      </w:tr>
      <w:tr>
        <w:trPr/>
        <w:tc>
          <w:tcPr>
            <w:tcW w:w="324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33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1,643,397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1,534,441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long-lived assets for impairment when events, expectations, or changes in circumstances indicate that the asset’s carrying value may not be recoverable. During the year ended December 31, 2025, the Company made the decision to close its internal lab and transferred the related fixed assets with a net book value of $62,376 to a third party to be marketed and sold. The Company wrote-off $9,549 of lab equipment and recognized an impairment charge of $26,706, both of which are included in research and development expenses. During the six months ended June 30, 2026, the Company returned assets held for sale of $3,150, which is recorded as Furniture, fixtures and equipment in the Company’s balance sheets, and wrote-off an additional $2,880 of assets held for sale.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Construction in process consists of symphony cartridge manufacturing equipment. The Company expects to place the remaining construction-in-process into service in 2026 to support its SYMON II clinical study. The Company has $1,105,440 of construction in process and $179,904 of manufacturing equipment held and operated by Sanyoseiko Co. LTD, its contract manufacturing organization in Japan.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LEASES</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arrangements for office space and copiers. A summary of supplemental lease information is as follows:</w:t>
      </w:r>
    </w:p>
    <w:p>
      <w:pPr>
        <w:pStyle w:val="TextBody"/>
        <w:bidi w:val="0"/>
        <w:spacing w:before="0" w:after="0"/>
        <w:ind w:left="0" w:right="0" w:hanging="0"/>
        <w:jc w:val="left"/>
        <w:rPr>
          <w:caps w:val="false"/>
          <w:smallCaps w:val="false"/>
        </w:rPr>
      </w:pPr>
      <w:r>
        <w:rPr>
          <w:caps w:val="false"/>
          <w:smallCaps w:val="false"/>
        </w:rPr>
        <w:t> </w:t>
      </w:r>
    </w:p>
    <w:tbl>
      <w:tblPr>
        <w:tblW w:w="8813" w:type="dxa"/>
        <w:jc w:val="left"/>
        <w:tblInd w:w="0" w:type="dxa"/>
        <w:tblLayout w:type="fixed"/>
        <w:tblCellMar>
          <w:top w:w="0" w:type="dxa"/>
          <w:left w:w="0" w:type="dxa"/>
          <w:bottom w:w="0" w:type="dxa"/>
          <w:right w:w="0" w:type="dxa"/>
        </w:tblCellMar>
      </w:tblPr>
      <w:tblGrid>
        <w:gridCol w:w="6440"/>
        <w:gridCol w:w="60"/>
        <w:gridCol w:w="149"/>
        <w:gridCol w:w="725"/>
        <w:gridCol w:w="215"/>
        <w:gridCol w:w="60"/>
        <w:gridCol w:w="159"/>
        <w:gridCol w:w="775"/>
        <w:gridCol w:w="230"/>
      </w:tblGrid>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23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230" w:type="dxa"/>
            <w:tcBorders/>
            <w:vAlign w:val="center"/>
          </w:tcPr>
          <w:p>
            <w:pPr>
              <w:pStyle w:val="TableContents"/>
              <w:bidi w:val="0"/>
              <w:spacing w:before="0" w:after="283"/>
              <w:ind w:left="0" w:right="0" w:hanging="180"/>
              <w:jc w:val="left"/>
              <w:rPr/>
            </w:pPr>
            <w:r>
              <w:rPr/>
              <w:t> </w:t>
            </w:r>
          </w:p>
        </w:tc>
      </w:tr>
      <w:tr>
        <w:trPr/>
        <w:tc>
          <w:tcPr>
            <w:tcW w:w="6440" w:type="dxa"/>
            <w:tcBorders/>
            <w:shd w:fill="CCEEFF" w:val="clear"/>
            <w:vAlign w:val="center"/>
          </w:tcPr>
          <w:p>
            <w:pPr>
              <w:pStyle w:val="TableContents"/>
              <w:bidi w:val="0"/>
              <w:spacing w:before="0" w:after="283"/>
              <w:jc w:val="left"/>
              <w:rPr/>
            </w:pPr>
            <w:r>
              <w:rPr/>
              <w:t>Weighted average remaining lease term – operating leases (in years)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0.8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440" w:type="dxa"/>
            <w:tcBorders/>
            <w:shd w:fill="FFFFFF" w:val="clear"/>
            <w:vAlign w:val="center"/>
          </w:tcPr>
          <w:p>
            <w:pPr>
              <w:pStyle w:val="TableContents"/>
              <w:bidi w:val="0"/>
              <w:spacing w:before="0" w:after="283"/>
              <w:jc w:val="left"/>
              <w:rPr/>
            </w:pPr>
            <w:r>
              <w:rPr/>
              <w:t>Weighted average remaining lease term – finance leases (in years)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2.6</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440" w:type="dxa"/>
            <w:tcBorders/>
            <w:shd w:fill="CCEEFF" w:val="clear"/>
            <w:vAlign w:val="center"/>
          </w:tcPr>
          <w:p>
            <w:pPr>
              <w:pStyle w:val="TableContents"/>
              <w:bidi w:val="0"/>
              <w:spacing w:before="0" w:after="283"/>
              <w:jc w:val="left"/>
              <w:rPr/>
            </w:pPr>
            <w:r>
              <w:rPr/>
              <w:t>Weighted average discount rate – operating leases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7.0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440" w:type="dxa"/>
            <w:tcBorders/>
            <w:shd w:fill="FFFFFF" w:val="clear"/>
            <w:vAlign w:val="center"/>
          </w:tcPr>
          <w:p>
            <w:pPr>
              <w:pStyle w:val="TableContents"/>
              <w:bidi w:val="0"/>
              <w:spacing w:before="0" w:after="283"/>
              <w:jc w:val="left"/>
              <w:rPr/>
            </w:pPr>
            <w:r>
              <w:rPr/>
              <w:t>Weighted average discount rate – finance leases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440" w:type="dxa"/>
            <w:tcBorders/>
            <w:shd w:fill="CCEEFF" w:val="clear"/>
            <w:vAlign w:val="center"/>
          </w:tcPr>
          <w:p>
            <w:pPr>
              <w:pStyle w:val="TableContents"/>
              <w:bidi w:val="0"/>
              <w:spacing w:before="0" w:after="283"/>
              <w:jc w:val="left"/>
              <w:rPr/>
            </w:pPr>
            <w:r>
              <w:rPr/>
              <w:t>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25,000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63,259</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440" w:type="dxa"/>
            <w:tcBorders/>
            <w:shd w:fill="FFFFFF" w:val="clear"/>
            <w:vAlign w:val="center"/>
          </w:tcPr>
          <w:p>
            <w:pPr>
              <w:pStyle w:val="TableContents"/>
              <w:bidi w:val="0"/>
              <w:spacing w:before="0" w:after="283"/>
              <w:jc w:val="left"/>
              <w:rPr/>
            </w:pPr>
            <w:r>
              <w:rPr/>
              <w:t>Operating cash flows from finance leases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jc w:val="right"/>
              <w:rPr/>
            </w:pPr>
            <w:r>
              <w:rPr/>
              <w:t>282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775" w:type="dxa"/>
            <w:tcBorders/>
            <w:shd w:fill="FFFFFF" w:val="clear"/>
            <w:vAlign w:val="center"/>
          </w:tcPr>
          <w:p>
            <w:pPr>
              <w:pStyle w:val="TableContents"/>
              <w:bidi w:val="0"/>
              <w:spacing w:before="0" w:after="283"/>
              <w:jc w:val="right"/>
              <w:rPr/>
            </w:pPr>
            <w:r>
              <w:rPr/>
              <w:t>424</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lease assets and liabilities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4"/>
        <w:gridCol w:w="60"/>
        <w:gridCol w:w="157"/>
        <w:gridCol w:w="767"/>
        <w:gridCol w:w="60"/>
        <w:gridCol w:w="60"/>
        <w:gridCol w:w="217"/>
        <w:gridCol w:w="1252"/>
        <w:gridCol w:w="78"/>
      </w:tblGrid>
      <w:tr>
        <w:trPr/>
        <w:tc>
          <w:tcPr>
            <w:tcW w:w="7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8" w:type="dxa"/>
            <w:tcBorders/>
            <w:vAlign w:val="center"/>
          </w:tcPr>
          <w:p>
            <w:pPr>
              <w:pStyle w:val="TableContents"/>
              <w:bidi w:val="0"/>
              <w:spacing w:before="0" w:after="283"/>
              <w:ind w:left="0" w:right="0" w:hanging="180"/>
              <w:jc w:val="left"/>
              <w:rPr/>
            </w:pPr>
            <w:r>
              <w:rPr/>
              <w:t> </w:t>
            </w:r>
          </w:p>
        </w:tc>
      </w:tr>
      <w:tr>
        <w:trPr/>
        <w:tc>
          <w:tcPr>
            <w:tcW w:w="7554"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7" w:type="dxa"/>
            <w:tcBorders/>
            <w:shd w:fill="CCEEFF" w:val="clear"/>
            <w:vAlign w:val="center"/>
          </w:tcPr>
          <w:p>
            <w:pPr>
              <w:pStyle w:val="TableContents"/>
              <w:bidi w:val="0"/>
              <w:spacing w:before="0" w:after="283"/>
              <w:jc w:val="right"/>
              <w:rPr/>
            </w:pPr>
            <w:r>
              <w:rPr/>
              <w:t>69,290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113,289</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7554" w:type="dxa"/>
            <w:tcBorders/>
            <w:shd w:fill="FFFFFF" w:val="clear"/>
            <w:vAlign w:val="center"/>
          </w:tcPr>
          <w:p>
            <w:pPr>
              <w:pStyle w:val="TableContents"/>
              <w:bidi w:val="0"/>
              <w:spacing w:before="0" w:after="283"/>
              <w:jc w:val="left"/>
              <w:rPr/>
            </w:pPr>
            <w:r>
              <w:rPr/>
              <w:t>Finance lease asset – property &amp; equipment, net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pPr>
            <w:r>
              <w:rPr/>
              <w:t>3,323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5,689</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7554" w:type="dxa"/>
            <w:tcBorders/>
            <w:shd w:fill="CCEEFF" w:val="clear"/>
            <w:vAlign w:val="center"/>
          </w:tcPr>
          <w:p>
            <w:pPr>
              <w:pStyle w:val="TableContents"/>
              <w:bidi w:val="0"/>
              <w:spacing w:before="0" w:after="283"/>
              <w:jc w:val="left"/>
              <w:rPr/>
            </w:pPr>
            <w:r>
              <w:rPr/>
              <w:t>Total lease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pPr>
            <w:r>
              <w:rPr/>
              <w:t>72,613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2" w:type="dxa"/>
            <w:tcBorders>
              <w:bottom w:val="double" w:sz="10" w:space="0" w:color="000000"/>
            </w:tcBorders>
            <w:shd w:fill="CCEEFF" w:val="clear"/>
            <w:tcMar>
              <w:bottom w:w="28" w:type="dxa"/>
            </w:tcMar>
            <w:vAlign w:val="center"/>
          </w:tcPr>
          <w:p>
            <w:pPr>
              <w:pStyle w:val="TableContents"/>
              <w:bidi w:val="0"/>
              <w:spacing w:before="0" w:after="283"/>
              <w:jc w:val="right"/>
              <w:rPr/>
            </w:pPr>
            <w:r>
              <w:rPr/>
              <w:t>118,978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7554" w:type="dxa"/>
            <w:tcBorders/>
            <w:shd w:fill="FFFFFF" w:val="clear"/>
            <w:vAlign w:val="center"/>
          </w:tcPr>
          <w:p>
            <w:pPr>
              <w:pStyle w:val="TableContents"/>
              <w:bidi w:val="0"/>
              <w:spacing w:before="0" w:after="283"/>
              <w:jc w:val="left"/>
              <w:rPr/>
            </w:pPr>
            <w:r>
              <w:rPr/>
              <w:t>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pPr>
            <w:r>
              <w:rPr/>
              <w:t>73,444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252" w:type="dxa"/>
            <w:tcBorders/>
            <w:shd w:fill="FFFFFF" w:val="clear"/>
            <w:vAlign w:val="center"/>
          </w:tcPr>
          <w:p>
            <w:pPr>
              <w:pStyle w:val="TableContents"/>
              <w:bidi w:val="0"/>
              <w:spacing w:before="0" w:after="283"/>
              <w:jc w:val="right"/>
              <w:rPr/>
            </w:pPr>
            <w:r>
              <w:rPr/>
              <w:t>100,000</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7554" w:type="dxa"/>
            <w:tcBorders/>
            <w:shd w:fill="CCEEFF" w:val="clear"/>
            <w:vAlign w:val="center"/>
          </w:tcPr>
          <w:p>
            <w:pPr>
              <w:pStyle w:val="TableContents"/>
              <w:bidi w:val="0"/>
              <w:spacing w:before="0" w:after="283"/>
              <w:jc w:val="left"/>
              <w:rPr/>
            </w:pPr>
            <w:r>
              <w:rPr/>
              <w:t>Current portion of finance lease liability included in accrued 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4,807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4,807</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7554" w:type="dxa"/>
            <w:tcBorders/>
            <w:shd w:fill="FFFFFF" w:val="clear"/>
            <w:vAlign w:val="center"/>
          </w:tcPr>
          <w:p>
            <w:pPr>
              <w:pStyle w:val="TableContents"/>
              <w:bidi w:val="0"/>
              <w:spacing w:before="0" w:after="283"/>
              <w:jc w:val="left"/>
              <w:rPr/>
            </w:pPr>
            <w:r>
              <w:rPr/>
              <w:t>Non-current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20,211</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7554" w:type="dxa"/>
            <w:tcBorders/>
            <w:shd w:fill="CCEEFF" w:val="clear"/>
            <w:vAlign w:val="center"/>
          </w:tcPr>
          <w:p>
            <w:pPr>
              <w:pStyle w:val="TableContents"/>
              <w:bidi w:val="0"/>
              <w:spacing w:before="0" w:after="283"/>
              <w:jc w:val="left"/>
              <w:rPr/>
            </w:pPr>
            <w:r>
              <w:rPr/>
              <w:t>Non-current portion of finance lease liabilities included in other non-current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pPr>
            <w:r>
              <w:rPr/>
              <w:t>2,419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4,540</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7554"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67" w:type="dxa"/>
            <w:tcBorders>
              <w:bottom w:val="double" w:sz="10" w:space="0" w:color="000000"/>
            </w:tcBorders>
            <w:shd w:fill="FFFFFF" w:val="clear"/>
            <w:tcMar>
              <w:bottom w:w="28" w:type="dxa"/>
            </w:tcMar>
            <w:vAlign w:val="center"/>
          </w:tcPr>
          <w:p>
            <w:pPr>
              <w:pStyle w:val="TableContents"/>
              <w:bidi w:val="0"/>
              <w:spacing w:before="0" w:after="283"/>
              <w:jc w:val="right"/>
              <w:rPr/>
            </w:pPr>
            <w:r>
              <w:rPr/>
              <w:t>80,670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double" w:sz="10" w:space="0" w:color="000000"/>
            </w:tcBorders>
            <w:shd w:fill="FFFFFF" w:val="clear"/>
            <w:tcMar>
              <w:bottom w:w="28" w:type="dxa"/>
            </w:tcMar>
            <w:vAlign w:val="center"/>
          </w:tcPr>
          <w:p>
            <w:pPr>
              <w:pStyle w:val="TableContents"/>
              <w:bidi w:val="0"/>
              <w:spacing w:before="0" w:after="283"/>
              <w:jc w:val="right"/>
              <w:rPr/>
            </w:pPr>
            <w:r>
              <w:rPr/>
              <w:t>129,558</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estimated operating lease payments are as follows:</w:t>
      </w:r>
    </w:p>
    <w:p>
      <w:pPr>
        <w:pStyle w:val="TextBody"/>
        <w:bidi w:val="0"/>
        <w:spacing w:before="0" w:after="0"/>
        <w:ind w:left="0" w:right="0" w:hanging="0"/>
        <w:jc w:val="left"/>
        <w:rPr>
          <w:caps w:val="false"/>
          <w:smallCaps w:val="false"/>
        </w:rPr>
      </w:pPr>
      <w:r>
        <w:rPr>
          <w:caps w:val="false"/>
          <w:smallCaps w:val="false"/>
        </w:rPr>
        <w:t> </w:t>
      </w:r>
    </w:p>
    <w:tbl>
      <w:tblPr>
        <w:tblW w:w="3795" w:type="dxa"/>
        <w:jc w:val="left"/>
        <w:tblInd w:w="0" w:type="dxa"/>
        <w:tblLayout w:type="fixed"/>
        <w:tblCellMar>
          <w:top w:w="0" w:type="dxa"/>
          <w:left w:w="0" w:type="dxa"/>
          <w:bottom w:w="28" w:type="dxa"/>
          <w:right w:w="0" w:type="dxa"/>
        </w:tblCellMar>
      </w:tblPr>
      <w:tblGrid>
        <w:gridCol w:w="2840"/>
        <w:gridCol w:w="60"/>
        <w:gridCol w:w="140"/>
        <w:gridCol w:w="680"/>
        <w:gridCol w:w="75"/>
      </w:tblGrid>
      <w:tr>
        <w:trPr/>
        <w:tc>
          <w:tcPr>
            <w:tcW w:w="2840" w:type="dxa"/>
            <w:tcBorders>
              <w:bottom w:val="single" w:sz="12"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sz w:val="20"/>
              </w:rPr>
            </w:pPr>
            <w:r>
              <w:rPr>
                <w:sz w:val="20"/>
              </w:rPr>
              <w:t xml:space="preserve">2026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Total future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75,000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pPr>
            <w:r>
              <w:rPr/>
              <w:t>1,556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Present value of lease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680" w:type="dxa"/>
            <w:tcBorders>
              <w:bottom w:val="double" w:sz="10" w:space="0" w:color="000000"/>
            </w:tcBorders>
            <w:shd w:fill="FFFFFF" w:val="clear"/>
            <w:vAlign w:val="center"/>
          </w:tcPr>
          <w:p>
            <w:pPr>
              <w:pStyle w:val="TableContents"/>
              <w:bidi w:val="0"/>
              <w:spacing w:before="0" w:after="283"/>
              <w:jc w:val="right"/>
              <w:rPr/>
            </w:pPr>
            <w:r>
              <w:rPr/>
              <w:t>73,444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60"/>
        <w:gridCol w:w="3740"/>
      </w:tblGrid>
      <w:tr>
        <w:trPr/>
        <w:tc>
          <w:tcPr>
            <w:tcW w:w="260" w:type="dxa"/>
            <w:tcBorders/>
            <w:vAlign w:val="center"/>
          </w:tcPr>
          <w:p>
            <w:pPr>
              <w:pStyle w:val="TableContents"/>
              <w:bidi w:val="0"/>
              <w:spacing w:before="0" w:after="283"/>
              <w:jc w:val="left"/>
              <w:rPr>
                <w:sz w:val="20"/>
              </w:rPr>
            </w:pPr>
            <w:r>
              <w:rPr>
                <w:sz w:val="20"/>
              </w:rPr>
              <w:t>(1)</w:t>
            </w:r>
          </w:p>
        </w:tc>
        <w:tc>
          <w:tcPr>
            <w:tcW w:w="3740" w:type="dxa"/>
            <w:tcBorders/>
            <w:vAlign w:val="center"/>
          </w:tcPr>
          <w:p>
            <w:pPr>
              <w:pStyle w:val="TableContents"/>
              <w:bidi w:val="0"/>
              <w:spacing w:before="0" w:after="283"/>
              <w:jc w:val="both"/>
              <w:rPr>
                <w:sz w:val="20"/>
              </w:rPr>
            </w:pPr>
            <w:r>
              <w:rPr>
                <w:sz w:val="20"/>
              </w:rPr>
              <w:t>Excludes the six months ended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COMMITMENTS AND CONTINGENCIES</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Minimum Royalties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required under the License Agreement (see Note 3), following the first sale of cartridges, the Company will also make royalty payments to Toray equal to 7.5% of the net sales of the cartridges for a term of 10 years. A 50% reduction in the royalty rate applies upon expiry of applicable Toray patents on a product-by-product and country-by-country basis. There were no sales of or revenues from the cartridges through June 30, 2026.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certain agreements with service providers with which it does business that contain indemnification provisions pursuant to which the Company typically agrees to indemnify the party against certain types of third-party claims. The Company accrues for known indemnification issues when a loss is probable and can be reasonably estimated. The Company would also accrue for estimated incurred but unidentified indemnification issues based on historical activity. As the Company has not incurred any indemnification losses to date, there were no accruals for or expenses related to indemnification issues for any period presented.</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SUPPLEMENTAL BALANCE SHEET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 of the following:</w:t>
      </w:r>
    </w:p>
    <w:p>
      <w:pPr>
        <w:pStyle w:val="TextBody"/>
        <w:bidi w:val="0"/>
        <w:spacing w:before="0" w:after="0"/>
        <w:ind w:left="5" w:right="0" w:hanging="0"/>
        <w:jc w:val="both"/>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4475"/>
        <w:gridCol w:w="60"/>
        <w:gridCol w:w="140"/>
        <w:gridCol w:w="800"/>
        <w:gridCol w:w="60"/>
        <w:gridCol w:w="60"/>
        <w:gridCol w:w="210"/>
        <w:gridCol w:w="1205"/>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83,337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183,211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Prepaid and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119,634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92,746</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202,971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275,957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5" w:right="0" w:hanging="0"/>
        <w:jc w:val="both"/>
        <w:rPr>
          <w:caps w:val="false"/>
          <w:smallCaps w:val="false"/>
        </w:rPr>
      </w:pPr>
      <w:r>
        <w:rPr>
          <w:caps w:val="false"/>
          <w:smallCaps w:val="false"/>
        </w:rPr>
        <w:t> </w:t>
      </w:r>
    </w:p>
    <w:tbl>
      <w:tblPr>
        <w:tblW w:w="7595" w:type="dxa"/>
        <w:jc w:val="left"/>
        <w:tblInd w:w="0" w:type="dxa"/>
        <w:tblLayout w:type="fixed"/>
        <w:tblCellMar>
          <w:top w:w="0" w:type="dxa"/>
          <w:left w:w="0" w:type="dxa"/>
          <w:bottom w:w="0" w:type="dxa"/>
          <w:right w:w="0" w:type="dxa"/>
        </w:tblCellMar>
      </w:tblPr>
      <w:tblGrid>
        <w:gridCol w:w="4805"/>
        <w:gridCol w:w="60"/>
        <w:gridCol w:w="140"/>
        <w:gridCol w:w="980"/>
        <w:gridCol w:w="60"/>
        <w:gridCol w:w="60"/>
        <w:gridCol w:w="210"/>
        <w:gridCol w:w="1205"/>
        <w:gridCol w:w="7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personnel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91,911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47,117</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legal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43,077</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clinical trial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822,178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274,532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board of director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147,500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138,136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156,567</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Delaware franchise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136,149</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1,369,108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804,942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SUBSEQUENT EVENTS</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Exercises of Prefunded Warrants</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2,484,367 shares of common stock were issued for June 2026 Pre-Funded Warrant exercises in July 2026. 222,581 June 2026 Pre-Funded Warrants remain unexercised as of the date of this filing. </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the unaudited condensed consolidated financial statements and the related notes appearing elsewhere in this Form 10-Q. This discussion contains forward-looking statements reflecting our current expectations that involve risks and uncertainties. Actual results and the timing of events could differ materially from those discussed in our forward-looking statements as a result of many factors, including those set forth under “Risk Factors” and elsewhere in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 (“Bluejay,” the “Company,” “we” and/or “us”) is a medical diagnostics company focused on improving patient outcomes in critical care settings. The Company is working on developing rapid, near-patient tests using whole blood on its Symphony technology platform (“Symphony”), which consists of an analyzer and single-use protein detection cartridges. The Company does not yet have regulatory clearance for Symphony, and it will need to receive regulatory authorization from the U.S. Food and Drug Administration (the “FDA”) before Symphony can be marketed as a diagnostic product in the United States. The Company has completed development of the Symphony analyzer and the cartridges. To achieve its clinical and commercial plan, the Company expects to need to raise between $10.0 million and $14 million of capital between the date of this filing and the end of the 2027 fiscal year, which the Company hopes to do in various tranches during this time period. The Company’s current plan is to complete analytical and clinical testing of the SYMON-II clinical trial samples by the end of 2026, with a goal of being in position to submit a 510(k) regulatory application to the FDA in 2027, with an objective of achieving FDA clearance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Symphony platform is a combination of Bluejay’s intellectual property (“IP”) and exclusively licensed and patented IP on the Symphony technology that the Company believes, if cleared, authorized, or approved by the FDA, can provide a solution to a significant market need. The Symphony device candidate is designed to produce laboratory-quality results in 20 minutes in critical care settings, including Intensive Care Units (“ICUs”) and Emergency Rooms (“ERs”), where rapid and reliable results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product candidate, the Symphony IL-6 test, is an immunoassay for the measurement of interleukin-6 (IL-6) to be used for the monitoring of disease progression in critical care settings. The Company is currently focused on pursuing the Symphony IL-6 test in the context of sepsis. IL-6 is a clinically established inflammatory biomarker, and is considered a ‘first-responder,’ for assessment of severity of infection and inflammation across many disease indications, including sepsis. A current challenge of healthcare professionals is the excessive time and cost associated with determining a patient’s level of severity at triage and the Company believes that its Symphony IL-6 test, if ultimately successful and approved, could have the ability to consistently monitor this critical care biomarker with rapid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succeeds with the foregoing plan, in the future it hopes to develop additional tests for Symphony, including tests for myocardial infarction and congestive heart failure (cardiac biomarkers hsTNT and NT pro-BNP) as well as other tests using the Symphony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net losses from operations each year and we expect to continue to incur losses for the foreseeable future. We incurred net losses of approximately $4.2 million and $3.8 million for the six months ended June 30, 2026 and 2025, respectively. We had negative cash flow from operating activities of approximately $3.1 million and $3.2 million for the six months ended June 30, 2026 and 2025, respectively, and had an accumulated deficit of approximately $45.8 million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below under “Liquidity and Going Concern Uncertainty” as of June 30, 2026, the Company possessed cash and cash equivalents of approximately $9.6 million, while having current liabilities of approximately $2.1 million. The Company will need to raise a material amount of additional capital in the future to continue as a going concern. If we are unable to obtain financing in the near-term, or otherwise consummate strategic alternatives, we could determine to undertake a process of liquidation under U.S. bankruptcy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120" w:type="dxa"/>
        <w:jc w:val="left"/>
        <w:tblInd w:w="0" w:type="dxa"/>
        <w:tblLayout w:type="fixed"/>
        <w:tblCellMar>
          <w:top w:w="0" w:type="dxa"/>
          <w:left w:w="0" w:type="dxa"/>
          <w:bottom w:w="0" w:type="dxa"/>
          <w:right w:w="0" w:type="dxa"/>
        </w:tblCellMar>
      </w:tblPr>
      <w:tblGrid>
        <w:gridCol w:w="2705"/>
        <w:gridCol w:w="60"/>
        <w:gridCol w:w="140"/>
        <w:gridCol w:w="1055"/>
        <w:gridCol w:w="95"/>
        <w:gridCol w:w="60"/>
        <w:gridCol w:w="140"/>
        <w:gridCol w:w="1055"/>
        <w:gridCol w:w="95"/>
        <w:gridCol w:w="60"/>
        <w:gridCol w:w="140"/>
        <w:gridCol w:w="1055"/>
        <w:gridCol w:w="95"/>
        <w:gridCol w:w="60"/>
        <w:gridCol w:w="140"/>
        <w:gridCol w:w="1055"/>
        <w:gridCol w:w="11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270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1,437,806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889,896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2,249,643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1,674,696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70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911,318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1,095,465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2,038,312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2,199,582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70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2,349,124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1,985,361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4,287,955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3,874,278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70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(2,349,124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(1,985,361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(4,287,955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(3,874,278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70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70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47,055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70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6,184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705"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25,111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28,757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44,701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53,239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7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(2,324,013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(1,956,604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(4,243,254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(3,821,039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months ended June 30, 2026 were approximately $1.4 million as compared to approximately $0.9 million for the same period in 2025. The increase in research and development expenses was primarily due to a $0.8 million increase in clinical development costs, which were somewhat offset by a $0.3 million decrease in personnel costs. We expect future research and development expenses to be focused on costs specifically associated with our clinical trial program supporting our regulatory strategy, technology transfer efforts and any necessary manufacturing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June 30, 2026, were approximately $0.9 million as compared to approximately $1.1 million for the comparable period in 2025. The decrease in general and administrative expenses is due to lower legal fees and accounting fees during the three months ended June 30, 2026 compared to 2025, which was somewhat offset by increases in personnel and other expense. The Company continues its efforts to preserve capital by limiting our investment in infrastructure and reducing professional services commensurate with our commercialization timeline. We expect to monitor and continue to pare our general and administrative spend, as necessary, to optimize operational alignment.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three months ended June 30, 2026 was $25,111 as compared to $28,757 for the same periods in 2025. The decrease in other income (expense), net was primarily due to a decrease in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Statement of Cash Flows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primary sources and uses of cash and cash equivalents for each of the periods presented.</w:t>
      </w:r>
    </w:p>
    <w:p>
      <w:pPr>
        <w:pStyle w:val="TextBody"/>
        <w:bidi w:val="0"/>
        <w:spacing w:before="0" w:after="0"/>
        <w:ind w:left="0" w:right="0" w:hanging="0"/>
        <w:jc w:val="both"/>
        <w:rPr>
          <w:caps w:val="false"/>
          <w:smallCaps w:val="false"/>
        </w:rPr>
      </w:pPr>
      <w:r>
        <w:rPr>
          <w:caps w:val="false"/>
          <w:smallCaps w:val="false"/>
        </w:rPr>
        <w:t> </w:t>
      </w:r>
    </w:p>
    <w:tbl>
      <w:tblPr>
        <w:tblW w:w="6650" w:type="dxa"/>
        <w:jc w:val="left"/>
        <w:tblInd w:w="0" w:type="dxa"/>
        <w:tblLayout w:type="fixed"/>
        <w:tblCellMar>
          <w:top w:w="0" w:type="dxa"/>
          <w:left w:w="0" w:type="dxa"/>
          <w:bottom w:w="0" w:type="dxa"/>
          <w:right w:w="0" w:type="dxa"/>
        </w:tblCellMar>
      </w:tblPr>
      <w:tblGrid>
        <w:gridCol w:w="3935"/>
        <w:gridCol w:w="60"/>
        <w:gridCol w:w="140"/>
        <w:gridCol w:w="1055"/>
        <w:gridCol w:w="95"/>
        <w:gridCol w:w="60"/>
        <w:gridCol w:w="140"/>
        <w:gridCol w:w="1055"/>
        <w:gridCol w:w="110"/>
      </w:tblGrid>
      <w:tr>
        <w:trPr/>
        <w:tc>
          <w:tcPr>
            <w:tcW w:w="3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Cash proceeds (used in) provided by:</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(3,088,556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(3,238,912</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(158,087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7,680,684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3,380,043</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4,434,041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141,131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used approximately $3.1 million in cash for operating activities, a decrease of approximately $0.1 million as compared to the same period in 2025. The decrease in net cash used in operating activities was primarily due to an increase in working capital of approximately $560,000 and largely offset by an increase in net loss of $422,000.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used $158,087 in cash for investing activities, an increase of $158,087 as compared to the same period in 2025. The increase in net cash used in investing activities was due to the acquisition of equipment necessary for the manufacture of cartridges in 2026, partially offset by proceeds from the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generated $7.7 million of cash from financing activities, an increase from the cash provided of approximately $4.3 million in the same period in 2025. The increase in 2026 is due to the June 2026 Private Placement net proceeds of $7.6 million and March 2026 Private Placement net proceeds of $125,000 when compared to the April 2025 private placement net proceeds of $3.4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$9,598,916 and current liabilities of $2,116,641 on its balance sheet as of June 30, 2026. The Company has incurred net losses since its inception, and has negative cash flows from operations and had an accumulated deficit of $45,760,521 as of June 30, 2026. The Company continues to develop its Symphony device and its first test for the measurement of IL-6. The Company remains committed to obtaining FDA clearance and hopes to obtain sufficient data to support its FDA submission, while also continuing to build its manufacturing operations with its contract manufacturing organizations. Current cash resources and expected operating expenses are considered in determining its liquidity requirements. The Company estimates cash resources will be sufficient to fund its operations through the second quarter of 2027. The Company will need additional capital to fund its planned operations for the next 15 months for commercialization and manufacturing scale-up. These conditions raise substantial doubt about the Company’s ability to continue as a going concern within one year from the date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for the three and six months ended June 30, 2026 and 2025 were prepared under the assumption that the Company will continue as a going concern, and do not include any adjustments relating to the recoverability and classification of recorded asset amounts or the amounts and classification of liabilities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that it will seek to raise such additional capital through public or private equity offerings. Additional funds may not be available when it needs them on terms that are acceptable to them, or at all. If adequate funds are not available, it may be required to delay its commercialization efforts or its manufacturing commitments and capacity. In addition, if it raises additional funds through collaborations, strategic alliances or distribution arrangements with third parties, it may have to relinquish valuable rights to its technologies or future revenue streams.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2025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2025, the Company entered into inducement letter agreements with certain existing holders of the Company’s Class C Warrants, pursuant to which such holders agreed to purchase an aggregate of 271,277 shares of the Company’s common stock (or, to the extent the applicable holder would have exceeded a specified beneficial ownership limitation, prefunding the future exercise of such warrants, other than a remaining $0.0004 per share exercise price). The Class C Warrants were originally issued on June 28, 2024 for an exercise price of $392.00 per share and were subsequently reduced to $65.20 per share pursuant to stockholder approval on August 21, 2024. Pursuant to the inducement letter agreements, the applicable holders agreed to exercise their Series C Warrants at a reduced exercise price of $13.68 per share, and to purchase an equivalent number of new Class E Warrants for an additional $0.50 per share. The Class E Warrants have an exercise price of $13.68 per share and expire on April 8,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closed on April 8, 2025. The exercise of the Class C Warrants resulted in the Company issuing 170,551 shares of common stock at closing pursuant to the inducement letters, and the exercise price of 100,726 of the Class C Warrants being amended to $0.0004 per share. As of December 31, all such reduced exercise price Class C Warrants had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to the Company from the exercise of the Class C Warrants and the sale of the new Class E Warrants were $3,846,692. The Company incurred total offering costs of $464,670, including a 10% financial advisory fee to Aegis Capital Corp. of $384,670.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modification of the terms or conditions of the Class C Warrants in this transaction is treated as an exchange of the original instrument for a new instrument. Using the Black Scholes option pricing model, the fair value of the Series C Warrants immediately prior to the inducement transaction was $479,299 and immediately after the inducement transaction was $1,590,930. In addition, Series E Warrants with a fair value of $1,730,652 were provided as part of the inducement transaction for a purchase price of $135,638. The Company recorded additional equity issuance costs of $2,706,645 related to the modification of the Series C Warrants and issuance of Series E Warrants related to the inducement transaction. As this equity issuance cost was a non-cash transaction, the Company recorded an increase to additional paid-in capital to offset the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October 2025 Private Placement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entered into a securities purchase agreement with two institutional investors pursuant to which the Company sold in a private placement (i) an aggregate of 43,750 shares of common stock and prefunded warrants to purchase up to 518,750 shares of common stock, and (ii) Series F warrants to purchase up to 1,125,000 shares of common stock. The combined price of the securities sold in the private placement was $8.00 per share of common stock (or prefunded warrant in lieu thereof, in which case such price was reduced by $0.0004) and accompanying Series F Warrants to acquire two shares of common stock. The October 2025 Prefunded Warrants, were exercisable for shares of common stock at an exercise price of $0.0004 per share and have all been fully exercised as of the date hereof. The Series F Warrants are exercisable for shares of common stock at an exercise price of $7.00 per share, are immediately exercisable and expire five and one-half years from the date of issuance.</w:t>
      </w:r>
    </w:p>
    <w:p>
      <w:pPr>
        <w:pStyle w:val="TextBody"/>
        <w:bidi w:val="0"/>
        <w:spacing w:before="0" w:after="0"/>
        <w:ind w:left="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closed on October 10, 2025. The gross proceeds to the Company from the sale of the securities sold in the private placement were approximately $4.5 million. The Company incurred total offering costs of $787,755, including a 8% financial advisory fee to Rodman and Renshaw LLC (“Rodman”), the placement agent, of approximately $360,000. Under the terms of the Company’s engagement letter with Rodman, the Company issue Rodman’s designees warrants to purchase up to 45,000 of common stock at an exercise price of $10.00 per share, which expire 5.5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private placement, the Company filed a registration statement on Form S-3, which became effective on November 26, 2025, to register 1,732,500 shares of common stock (including any shares of common stock issued in the future pursuant to the Series F Warrants or October 2025 Placement Agent Warrants) for resale in public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March 2026 Private Placement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2026, the Company entered into a securities purchase agreement pursuant to which the Company issued and sold to the purchasers named therein an aggregate of 62,500 shares of the Company’s common stock at a price of $2.00 per share. The transaction closed on March 17, 2026 for aggregate gross proceeds to the Company of $125,000.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are Neil Dey, President and Chief Executive Officer of the Company and a director, Donald Chase, Chairman of the Board, and Svetlana Dey, Douglas Wurth and Fred Zeidman, each a Company director. Each of the purchasers acquired 12,500 shares of common stock for his or her own individual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was not registered under the Securities Act of 1933, and the shares were issued and sold in a private placement pursuant to Section 4(a)(2) of the Securities Act and/or Rule 506 of Regulation D as promulgated by the Securities and Exchange Commission under the Securities Act. Each of the purchasers represented that he or she is an “accredited investor” within the meaning of Rule 501 of Regulation D, was acquiring the Securities for his or her own account, and had no direct or indirect arrangement or understanding with any other persons to distribute or regarding the distribution of such shares. The shares were offered and sold without any general solicitation by the Company or its representatives. The Company has not agreed to provide registration rights with respect to any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June 2026 Private Placement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entered into a securities purchase agreement and registration rights agreement with certain institutional, accredited investors pursuant to which the Company sold in a private placement (i) pre-funded warrants to purchase up to 3,655,917 shares of common stock, and (ii) Series G warrants to purchase up to 3,655,917 shares of common stock and (iii) Series H warrants to purchase up to 3,655,917 shares of common stock. The combined price of the securities sold in the private placement was $2.3249 per pre-funded warrant and accompanying Series G Warrant and Series H Warrant. The pre-funded warrants are immediately exercisable for shares of common stock at an exercise price of $0.0001 per share, and expire once exercised in full. As of August 7, 2026, 3,433,336 of the June 2026 Pre-Funded Warrants have been exercised and 222,581 remain unexercised and outstanding. The Series G Warrants and Series H Warrants are immediately exercisable for shares of common stock at an exercise price of $2.075 per share. The Series G Warrants expire on June 26, 2031 and the Series H Warrants expire on June 26,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closed on June 5, 2026. The gross proceeds to the Company from the sale of the securities sold in the private placement were approximately $8.5 million. The Company incurred total offering costs of $942,262, including a 7% financial advisory fee to H.C. Wainwright &amp; Co. (“Wainwright”), the placement agent, of approximately $595,000. Under the terms of the Company’s engagement letter with Wainwright, the Company issued Wainwright (or its designees) warrants to purchase up to 255,914 shares of common stock on the same terms as the Series G Warrants, except that the exercise price is $2.9063 per share (the “June 2026 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private placement, the Company filed a registration statement on Form S-3, which became effective on June 26, 2026 to register 11,223,665 shares of common stock (including any shares of common stock issued in the future pursuant to the Series G Warrants, the Series H Warrants or June 2026 Placement Agent Warrants) for resale in public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Standards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condensed consolidated financial statements (under the caption “Recently Issued Accounting Standards”).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We are using the extended transition period for any other new or revised accounting standards during the period in which we remain an emerging growth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the last day of our first fiscal year (a) following the fifth anniversary of the completion of IPO (November 2021), (b) in which we have total annual gross revenues of at least $1.235 billion or (c) in which we are deemed to be a large accelerated filer, which means the market value of our common stock that is held by non-affiliates exceeds $700 million as of the prior June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and (ii) the date on which we have issued more than $1 billion in non-convertible debt securities during the prior three-year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similar to emerging growth companies, smaller reporting companies have reduced disclosure obligations regarding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provides that an “emerging growth company” can take advantage of the extended transition period provided in Section 7(a)(2)(B) of the Securities Act of 1933, as amended, for complying with new or revised accounting standards. In other words, an “emerging growth company” can delay the adoption of certain accounting standards until those standards would otherwise apply to private companies.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all new accounting pronouncements that are in effect and may impact our financial statements and we do not believe that there are any other new accounting pronouncements that have been issued that might have a material impact on our financial position or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Securities Exchange Act of 1934, as Amended (the “Exchange Act”) and are not required to provide the information required under this item.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under the supervision and with the participation of our President and Chief Executive Officer (who serves as our principal executive officer and principal financial and accounting officer), regarding the effectiveness of our disclosure controls and procedures (as defined in Rules 13a-15(e) and 15d-15(e) under the Exchange Act) as of the end of the period covered by this report. Based on this evaluation, our President and Chief Executive Officer concluded that our disclosure controls and procedures were effective as of June 30, 2026. We continue to review our disclosure controls and procedures and may from time to time make changes aimed at enhancing their effectiveness and ensuring that our systems evolve with our Company’s business. A control system, no matter how well conceived and operated, can provide only reasonable, not absolute, assurance that the objectives of the control system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Changes in Internal Control Over Financial Reporting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our internal control over financial reporting (as defined in Rules 13a-15(f) and 15d-15(f) under the Exchange Act) that occurred during the quarter ended June 30,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ordinary course of our business, we may be involved in legal proceedings, the outcomes of which may not be determinable. The results of litigation are inherently unpredictable. Any claims against us, whether meritorious or not, could be time consuming, result in costly litigation, require significant amounts of management time and result in diversion of significant resources. We are not able to estimate an aggregate amount or range of reasonably possible losses for those legal matters for which losses are not probable and estimable. We have insurance policies covering potential losses where such coverage is cost effective.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at this time involved in any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potential risks or uncertainties, see “Risk Factors” in the Company’s 2025 annual report on Form 10-K on file with the SEC. The following disclosures supplement such Risk Factors, and should be read in conjunction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Risks Related to Our Financial Condition and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remain a going concern, we expect to need to raise additional capital and if we are unable to do so, we could become unable to finance our business plan, ultimately leading to us undertaking a process of liquidation under U.S. bankruptcy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possessed cash and cash equivalents of approximately $9.6 million, while having current liabilities of approximately $2.1 million. We incurred losses of approximately $6.8 million and $7.7 million for fiscal years 2025 and 2024, respectively, and $4.2 million for the six months ended June 30, 2026. From our inception through June 30, 2026, we have an accumulated deficit of approximately $45.8 million, and we do not currently generate any operating income. To achieve our current strategic plan, which strives to be in position to submit a 510(k) regulatory application to the FDA in the first half of 2027 and achieve FDA approval thereafter, we expect to raise additional capital. There can be no assurance that such additional capital will be available on a timely basis or on terms that will be acceptable to us. If we are ultimately unable to obtain the needed financing to implement our business plans, our board of directors could determine to cause the Company to undertake a process of liquidation under Chapter 7 of applicable U.S. bankruptcy laws. In such event, holders of shares of our common stock may not recoup any significant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currently is listed for quotation on the Nasdaq Capital Market. We are required to meet specified financial requirements in order to maintain such listing, including a requirement that the bid price for our common stock remains above $1.00. In addition, a Nasdaq proposal establishing a new continued listing requirement that all Nasdaq-listed companies maintain a minimum value of listed securities of $5 million is currently under review and consideration by the SEC. Currently, the market value of our common stock is near this proposed threshold, and we therefore could be at risk of failing to meet this requirement and being delisted if this proposal is ultimately approved and our market capitalization does not stay above the proposed $5 million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5550(a)(2) requires listed companies to maintain a minimum bid price of $1.00 for continued inclusion on the Nasdaq Capital Market. As of the close of business on August 7, 2026, the most recent closing price of our common stock on the Nasdaq Capital Market. was $1.07 per share. If the trading price of our common stock closes below $1.00 for more than 30 consecutive trading days, we will not be compliant this requirement. In such event, we would be subject to delisting, and because we consummated a reverse stock split in January 2026, we would be ineligible for any compliance period under recently implemented Nasdaq listing rules if this event occurred prior to the one-year anniversary of such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July 22, 2026, the staff of the SEC’s Division of Trading and Markets, acting pursuant to delegated authority, approved a Nasdaq proposal establishing a new continued listing requirement that all Nasdaq-listed companies maintain a minimum value of listed securities of $5 million, and providing that companies not meeting this standard will be delisted if they fail to meet this requirement for 30 consecutive trading days. On July 29, 2026, the full SEC stayed approval of the rule so that the full SEC may further consider whether the rule should be approved, and the proposed rule is therefore currently not effective. At the present time, the market value of our outstanding common stock is near the threshold that would be implemented if the rule were approved, and we therefore could be at risk of failing to meet this requirement and being delisted on that basis if the rule is ultimately approved and our market capitalization does not stay above the proposed $5 million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we may seek to have our common stock quoted on an over-the-counter marketplace, such as on the OTCQX. The OTCQX is not a stock exchange, and if our common stock trades on the OTCQX rather than a securities exchange, there may be significantly less trading volume and analyst coverage of, and significantly less investor interest in, our common stock, which may lead to lower trading prices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potential delisting of our common stock from the Nasdaq Capital Market may have materially adverse consequences to our stockholders,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9"/>
        <w:gridCol w:w="9938"/>
      </w:tblGrid>
      <w:tr>
        <w:trPr/>
        <w:tc>
          <w:tcPr>
            <w:tcW w:w="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reduced market price and liquidity with respect to our shares of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2"/>
        <w:gridCol w:w="280"/>
        <w:gridCol w:w="9863"/>
      </w:tblGrid>
      <w:tr>
        <w:trPr/>
        <w:tc>
          <w:tcPr>
            <w:tcW w:w="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w:t>
            </w:r>
          </w:p>
        </w:tc>
        <w:tc>
          <w:tcPr>
            <w:tcW w:w="98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limited dissemination of the market price of our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0"/>
        <w:gridCol w:w="717"/>
        <w:gridCol w:w="9328"/>
      </w:tblGrid>
      <w:tr>
        <w:trPr/>
        <w:tc>
          <w:tcPr>
            <w:tcW w:w="16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w:t>
            </w:r>
          </w:p>
        </w:tc>
        <w:tc>
          <w:tcPr>
            <w:tcW w:w="93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limited news coverage;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8"/>
        <w:gridCol w:w="351"/>
        <w:gridCol w:w="9776"/>
      </w:tblGrid>
      <w:tr>
        <w:trPr/>
        <w:tc>
          <w:tcPr>
            <w:tcW w:w="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w:t>
            </w:r>
          </w:p>
        </w:tc>
        <w:tc>
          <w:tcPr>
            <w:tcW w:w="97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limited interest by investors in our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 of the prices of our common stock, due to low trading volume;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common stock being considered a “penny stock,” which would result in broker-dealers participating in sales of our common stock being subject to the regulations set forth in Rules 15g-2 through 15g-9 promulgated under the Exchange 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difficulty in selling our common stock in certain states due to “blue sky” restrictions;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limited ability to issue additional securities or to secure additional financing.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“Recent Offerings - March 2026 Private Placement” under Part I, Item 2 of this report,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Trading Arrangements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June 30, 2026,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Securities Exchange Act of 1934 or any “non-Rule 10b5-1 trading arrangement.”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5"/>
        <w:gridCol w:w="60"/>
        <w:gridCol w:w="9340"/>
      </w:tblGrid>
      <w:tr>
        <w:trPr/>
        <w:tc>
          <w:tcPr>
            <w:tcW w:w="805" w:type="dxa"/>
            <w:tcBorders>
              <w:bottom w:val="single" w:sz="12" w:space="0" w:color="000000"/>
            </w:tcBorders>
            <w:vAlign w:val="center"/>
          </w:tcPr>
          <w:p>
            <w:pPr>
              <w:pStyle w:val="TableContents"/>
              <w:bidi w:val="0"/>
              <w:spacing w:before="0" w:after="283"/>
              <w:jc w:val="left"/>
              <w:rPr>
                <w:b/>
                <w:sz w:val="20"/>
              </w:rPr>
            </w:pPr>
            <w:r>
              <w:rPr>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34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 xml:space="preserve">4.1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both"/>
              <w:rPr/>
            </w:pPr>
            <w:hyperlink r:id="rId2">
              <w:r>
                <w:rPr>
                  <w:rStyle w:val="InternetLink"/>
                  <w:sz w:val="20"/>
                </w:rPr>
                <w:t>Form of Pre-Funded Warrant (incorporated by reference to Exhibit 4.1 to the Company’s Current Report on Form 8-K filed on June 8, 2026).</w:t>
              </w:r>
            </w:hyperlink>
          </w:p>
        </w:tc>
      </w:tr>
      <w:tr>
        <w:trPr/>
        <w:tc>
          <w:tcPr>
            <w:tcW w:w="805" w:type="dxa"/>
            <w:tcBorders/>
            <w:shd w:fill="FFFFFF" w:val="clear"/>
            <w:tcMar>
              <w:bottom w:w="0" w:type="dxa"/>
            </w:tcMar>
            <w:vAlign w:val="center"/>
          </w:tcPr>
          <w:p>
            <w:pPr>
              <w:pStyle w:val="TableContents"/>
              <w:bidi w:val="0"/>
              <w:spacing w:before="0" w:after="283"/>
              <w:jc w:val="left"/>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both"/>
              <w:rPr/>
            </w:pPr>
            <w:hyperlink r:id="rId3">
              <w:r>
                <w:rPr>
                  <w:rStyle w:val="InternetLink"/>
                  <w:sz w:val="20"/>
                </w:rPr>
                <w:t>Form of Series G Warrant (incorporated by reference to Exhibit 4.2 to the Company’s Current Report on Form 8-K filed on June 8, 2026).</w:t>
              </w:r>
            </w:hyperlink>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both"/>
              <w:rPr/>
            </w:pPr>
            <w:hyperlink r:id="rId4">
              <w:r>
                <w:rPr>
                  <w:rStyle w:val="InternetLink"/>
                  <w:sz w:val="20"/>
                </w:rPr>
                <w:t>Form of Series H Warrant (incorporated by reference to Exhibit 4.3 to the Company’s Current Report on Form 8-K filed on June 8, 2026).</w:t>
              </w:r>
            </w:hyperlink>
          </w:p>
        </w:tc>
      </w:tr>
      <w:tr>
        <w:trPr/>
        <w:tc>
          <w:tcPr>
            <w:tcW w:w="805" w:type="dxa"/>
            <w:tcBorders/>
            <w:shd w:fill="FFFFFF" w:val="clear"/>
            <w:tcMar>
              <w:bottom w:w="0" w:type="dxa"/>
            </w:tcMar>
            <w:vAlign w:val="center"/>
          </w:tcPr>
          <w:p>
            <w:pPr>
              <w:pStyle w:val="TableContents"/>
              <w:bidi w:val="0"/>
              <w:spacing w:before="0" w:after="283"/>
              <w:jc w:val="left"/>
              <w:rPr>
                <w:sz w:val="20"/>
              </w:rPr>
            </w:pPr>
            <w:r>
              <w:rPr>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both"/>
              <w:rPr/>
            </w:pPr>
            <w:hyperlink r:id="rId5">
              <w:r>
                <w:rPr>
                  <w:rStyle w:val="InternetLink"/>
                  <w:sz w:val="20"/>
                </w:rPr>
                <w:t>Form of Placement Agent Warrant (incorporated by reference to Exhibit 4.4 to the Company’s Current Report on Form 8-K filed on June 8, 2026).</w:t>
              </w:r>
            </w:hyperlink>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both"/>
              <w:rPr/>
            </w:pPr>
            <w:hyperlink r:id="rId6">
              <w:r>
                <w:rPr>
                  <w:rStyle w:val="InternetLink"/>
                  <w:sz w:val="20"/>
                </w:rPr>
                <w:t>Bluejay Diagnostics, Inc. 2021 Stock Plan, as amended by Amendment No. 1 thereto (incorporated by reference to Exhibit 10.1 to the Company’s Current Report on Form 8-K filed on June 9, 2026).</w:t>
              </w:r>
            </w:hyperlink>
          </w:p>
        </w:tc>
      </w:tr>
      <w:tr>
        <w:trPr/>
        <w:tc>
          <w:tcPr>
            <w:tcW w:w="805"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both"/>
              <w:rPr/>
            </w:pPr>
            <w:hyperlink r:id="rId7">
              <w:r>
                <w:rPr>
                  <w:rStyle w:val="InternetLink"/>
                  <w:sz w:val="20"/>
                </w:rPr>
                <w:t>Agreement dated May 27, 2026, between Bluejay Diagnostics, Inc. and Argonaut Manufacturing Services (incorporated by reference to Exhibit 10.1 to the Company’s Current Report on Form 8-K filed on June 2, 2026).</w:t>
              </w:r>
            </w:hyperlink>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both"/>
              <w:rPr/>
            </w:pPr>
            <w:hyperlink r:id="rId8">
              <w:r>
                <w:rPr>
                  <w:rStyle w:val="InternetLink"/>
                  <w:sz w:val="20"/>
                </w:rPr>
                <w:t>Form of Securities Purchase Agreement (incorporated by reference to Exhibit 10.1 to the Company’s Current Report on Form 8-K filed on June 8, 2026).</w:t>
              </w:r>
            </w:hyperlink>
          </w:p>
        </w:tc>
      </w:tr>
      <w:tr>
        <w:trPr/>
        <w:tc>
          <w:tcPr>
            <w:tcW w:w="80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both"/>
              <w:rPr/>
            </w:pPr>
            <w:hyperlink r:id="rId9">
              <w:r>
                <w:rPr>
                  <w:rStyle w:val="InternetLink"/>
                  <w:sz w:val="20"/>
                </w:rPr>
                <w:t>Form of Registration Rights Agreement (incorporated by reference to Exhibit 10.2 to the Company’s Current Report on Form 8-K filed on June 8, 2026).</w:t>
              </w:r>
            </w:hyperlink>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both"/>
              <w:rPr/>
            </w:pPr>
            <w:hyperlink w:anchor="ea029991601ex31-1.htm">
              <w:r>
                <w:rPr>
                  <w:rStyle w:val="InternetLink"/>
                  <w:sz w:val="20"/>
                </w:rPr>
                <w:t>Certification of the Principal Executive Officer pursuant to Rule 13a-14(a) or 15d-14(a) of the Securities Exchange Act of 1934.</w:t>
              </w:r>
            </w:hyperlink>
          </w:p>
        </w:tc>
      </w:tr>
      <w:tr>
        <w:trPr/>
        <w:tc>
          <w:tcPr>
            <w:tcW w:w="805" w:type="dxa"/>
            <w:tcBorders/>
            <w:shd w:fill="FFFFFF" w:val="clear"/>
            <w:tcMar>
              <w:bottom w:w="0" w:type="dxa"/>
            </w:tcMar>
            <w:vAlign w:val="center"/>
          </w:tcPr>
          <w:p>
            <w:pPr>
              <w:pStyle w:val="TableContents"/>
              <w:bidi w:val="0"/>
              <w:spacing w:before="0" w:after="283"/>
              <w:jc w:val="left"/>
              <w:rPr>
                <w:sz w:val="20"/>
              </w:rPr>
            </w:pPr>
            <w:r>
              <w:rPr>
                <w:sz w:val="20"/>
              </w:rPr>
              <w:t>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both"/>
              <w:rPr/>
            </w:pPr>
            <w:hyperlink w:anchor="ea029991601ex31-2.htm">
              <w:r>
                <w:rPr>
                  <w:rStyle w:val="InternetLink"/>
                  <w:sz w:val="20"/>
                </w:rPr>
                <w:t>Certification of the Principal Financial Officer pursuant to Rule 13a-14(a) or 15d-14(a) of the Securities Exchange Act of 1934</w:t>
              </w:r>
            </w:hyperlink>
            <w:r>
              <w:rPr>
                <w:sz w:val="20"/>
              </w:rPr>
              <w:t>.</w:t>
            </w:r>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32.1*(1)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both"/>
              <w:rPr/>
            </w:pPr>
            <w:hyperlink w:anchor="ea029991601ex32-1.htm">
              <w:r>
                <w:rPr>
                  <w:rStyle w:val="InternetLink"/>
                  <w:sz w:val="20"/>
                </w:rPr>
                <w:t>Certification of the Principal Executive Officer pursuant to 18 U.S.C. Section 1350, as adopted pursuant to Section 906 of the Sarbanes-Oxley Act of 2002.</w:t>
              </w:r>
            </w:hyperlink>
          </w:p>
        </w:tc>
      </w:tr>
      <w:tr>
        <w:trPr/>
        <w:tc>
          <w:tcPr>
            <w:tcW w:w="805" w:type="dxa"/>
            <w:tcBorders/>
            <w:shd w:fill="FFFFFF" w:val="clear"/>
            <w:tcMar>
              <w:bottom w:w="0" w:type="dxa"/>
            </w:tcMar>
            <w:vAlign w:val="center"/>
          </w:tcPr>
          <w:p>
            <w:pPr>
              <w:pStyle w:val="TableContents"/>
              <w:bidi w:val="0"/>
              <w:spacing w:before="0" w:after="283"/>
              <w:jc w:val="left"/>
              <w:rPr>
                <w:sz w:val="20"/>
              </w:rPr>
            </w:pPr>
            <w:r>
              <w:rPr>
                <w:sz w:val="20"/>
              </w:rPr>
              <w:t>32.2*(1)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both"/>
              <w:rPr/>
            </w:pPr>
            <w:hyperlink w:anchor="ea029991601ex32-2.htm">
              <w:r>
                <w:rPr>
                  <w:rStyle w:val="InternetLink"/>
                  <w:sz w:val="20"/>
                </w:rPr>
                <w:t>Certification of the Principal Financial Officer pursuant to 18 U.S.C. Section 1350, as adopted pursuant to Section 906 of the Sarbanes-Oxley Act of 2002</w:t>
              </w:r>
            </w:hyperlink>
            <w:r>
              <w:rPr>
                <w:sz w:val="20"/>
              </w:rPr>
              <w:t>.</w:t>
            </w:r>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left"/>
              <w:rPr>
                <w:sz w:val="20"/>
              </w:rPr>
            </w:pPr>
            <w:r>
              <w:rPr>
                <w:sz w:val="20"/>
              </w:rPr>
              <w:t>Inline XBRL Instance Document.</w:t>
            </w:r>
          </w:p>
        </w:tc>
      </w:tr>
      <w:tr>
        <w:trPr/>
        <w:tc>
          <w:tcPr>
            <w:tcW w:w="805" w:type="dxa"/>
            <w:tcBorders/>
            <w:shd w:fill="FFFFFF" w:val="clear"/>
            <w:tcMar>
              <w:bottom w:w="0" w:type="dxa"/>
            </w:tcMar>
            <w:vAlign w:val="center"/>
          </w:tcPr>
          <w:p>
            <w:pPr>
              <w:pStyle w:val="TableContents"/>
              <w:bidi w:val="0"/>
              <w:spacing w:before="0" w:after="283"/>
              <w:jc w:val="left"/>
              <w:rPr>
                <w:sz w:val="20"/>
              </w:rPr>
            </w:pPr>
            <w:r>
              <w:rPr>
                <w:sz w:val="20"/>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left"/>
              <w:rPr>
                <w:sz w:val="20"/>
              </w:rPr>
            </w:pPr>
            <w:r>
              <w:rPr>
                <w:sz w:val="20"/>
              </w:rPr>
              <w:t>Inline XBRL Taxonomy Extension Schema Document.</w:t>
            </w:r>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left"/>
              <w:rPr>
                <w:sz w:val="20"/>
              </w:rPr>
            </w:pPr>
            <w:r>
              <w:rPr>
                <w:sz w:val="20"/>
              </w:rPr>
              <w:t>Inline XBRL Taxonomy Extension Calculation Linkbase Document.</w:t>
            </w:r>
          </w:p>
        </w:tc>
      </w:tr>
      <w:tr>
        <w:trPr/>
        <w:tc>
          <w:tcPr>
            <w:tcW w:w="805" w:type="dxa"/>
            <w:tcBorders/>
            <w:shd w:fill="FFFFFF" w:val="clear"/>
            <w:tcMar>
              <w:bottom w:w="0" w:type="dxa"/>
            </w:tcMar>
            <w:vAlign w:val="center"/>
          </w:tcPr>
          <w:p>
            <w:pPr>
              <w:pStyle w:val="TableContents"/>
              <w:bidi w:val="0"/>
              <w:spacing w:before="0" w:after="283"/>
              <w:jc w:val="left"/>
              <w:rPr>
                <w:sz w:val="20"/>
              </w:rPr>
            </w:pPr>
            <w:r>
              <w:rPr>
                <w:sz w:val="20"/>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left"/>
              <w:rPr>
                <w:sz w:val="20"/>
              </w:rPr>
            </w:pPr>
            <w:r>
              <w:rPr>
                <w:sz w:val="20"/>
              </w:rPr>
              <w:t>Inline XBRL Taxonomy Extension Definition Linkbase Document.</w:t>
            </w:r>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left"/>
              <w:rPr>
                <w:sz w:val="20"/>
              </w:rPr>
            </w:pPr>
            <w:r>
              <w:rPr>
                <w:sz w:val="20"/>
              </w:rPr>
              <w:t>Inline XBRL Taxonomy Extension Label Linkbase Document.</w:t>
            </w:r>
          </w:p>
        </w:tc>
      </w:tr>
      <w:tr>
        <w:trPr/>
        <w:tc>
          <w:tcPr>
            <w:tcW w:w="805" w:type="dxa"/>
            <w:tcBorders/>
            <w:shd w:fill="FFFFFF" w:val="clear"/>
            <w:tcMar>
              <w:bottom w:w="0" w:type="dxa"/>
            </w:tcMar>
            <w:vAlign w:val="center"/>
          </w:tcPr>
          <w:p>
            <w:pPr>
              <w:pStyle w:val="TableContents"/>
              <w:bidi w:val="0"/>
              <w:spacing w:before="0" w:after="283"/>
              <w:jc w:val="left"/>
              <w:rPr>
                <w:sz w:val="20"/>
              </w:rPr>
            </w:pPr>
            <w:r>
              <w:rPr>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left"/>
              <w:rPr>
                <w:sz w:val="20"/>
              </w:rPr>
            </w:pPr>
            <w:r>
              <w:rPr>
                <w:sz w:val="20"/>
              </w:rPr>
              <w:t>Inline XBRL Taxonomy Extension Presentation Linkbase Document.</w:t>
            </w:r>
          </w:p>
        </w:tc>
      </w:tr>
      <w:tr>
        <w:trPr/>
        <w:tc>
          <w:tcPr>
            <w:tcW w:w="80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sz w:val="20"/>
              </w:rPr>
            </w:pPr>
            <w:r>
              <w:rPr>
                <w:sz w:val="20"/>
              </w:rPr>
              <w:t>*</w:t>
            </w:r>
          </w:p>
        </w:tc>
        <w:tc>
          <w:tcPr>
            <w:tcW w:w="125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654"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sz w:val="20"/>
              </w:rPr>
            </w:pPr>
            <w:r>
              <w:rPr>
                <w:sz w:val="20"/>
              </w:rPr>
              <w:t>(1)</w:t>
            </w:r>
          </w:p>
        </w:tc>
        <w:tc>
          <w:tcPr>
            <w:tcW w:w="9981" w:type="dxa"/>
            <w:tcBorders/>
            <w:vAlign w:val="center"/>
          </w:tcPr>
          <w:p>
            <w:pPr>
              <w:pStyle w:val="TableContents"/>
              <w:bidi w:val="0"/>
              <w:spacing w:before="0" w:after="283"/>
              <w:jc w:val="both"/>
              <w:rPr>
                <w:sz w:val="20"/>
              </w:rPr>
            </w:pPr>
            <w:r>
              <w:rPr>
                <w:sz w:val="20"/>
              </w:rPr>
              <w:t>The certifications on Exhibit 32 hereto are deemed not “filed” for purposes of Section 18 of the Exchange Act or otherwise subject to the liability of that Section. Such certifications will not be deemed incorporated by reference into any filing under the Securities Act or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1175"/>
        <w:gridCol w:w="60"/>
        <w:gridCol w:w="4910"/>
        <w:gridCol w:w="60"/>
        <w:gridCol w:w="1385"/>
      </w:tblGrid>
      <w:tr>
        <w:trPr/>
        <w:tc>
          <w:tcPr>
            <w:tcW w:w="1175" w:type="dxa"/>
            <w:tcBorders>
              <w:bottom w:val="single" w:sz="12"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910" w:type="dxa"/>
            <w:tcBorders>
              <w:bottom w:val="single" w:sz="12"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11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175" w:type="dxa"/>
            <w:tcBorders>
              <w:bottom w:val="single" w:sz="12" w:space="0" w:color="000000"/>
            </w:tcBorders>
            <w:vAlign w:val="center"/>
          </w:tcPr>
          <w:p>
            <w:pPr>
              <w:pStyle w:val="TableContents"/>
              <w:bidi w:val="0"/>
              <w:spacing w:before="0" w:after="283"/>
              <w:jc w:val="left"/>
              <w:rPr>
                <w:sz w:val="20"/>
              </w:rPr>
            </w:pPr>
            <w:r>
              <w:rPr>
                <w:sz w:val="20"/>
              </w:rPr>
              <w:t>/s/ Neil Dey</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sz w:val="20"/>
              </w:rPr>
            </w:pPr>
            <w:r>
              <w:rPr>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12, 2026</w:t>
            </w:r>
          </w:p>
        </w:tc>
      </w:tr>
      <w:tr>
        <w:trPr/>
        <w:tc>
          <w:tcPr>
            <w:tcW w:w="1175" w:type="dxa"/>
            <w:tcBorders/>
            <w:tcMar>
              <w:bottom w:w="0" w:type="dxa"/>
            </w:tcMar>
            <w:vAlign w:val="center"/>
          </w:tcPr>
          <w:p>
            <w:pPr>
              <w:pStyle w:val="TableContents"/>
              <w:bidi w:val="0"/>
              <w:spacing w:before="0" w:after="283"/>
              <w:jc w:val="left"/>
              <w:rPr>
                <w:sz w:val="20"/>
              </w:rPr>
            </w:pPr>
            <w:r>
              <w:rPr>
                <w:sz w:val="20"/>
              </w:rPr>
              <w:t>Neil Dey</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sz w:val="20"/>
              </w:rPr>
            </w:pPr>
            <w:r>
              <w:rPr>
                <w:sz w:val="20"/>
              </w:rPr>
              <w:t xml:space="preserve">(Principal Executive Officer, Principal Financial Officer and </w:t>
              <w:b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9991601ex31-1.htm"/>
      <w:bookmarkStart w:id="22" w:name="ksea029991601ex311"/>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Neil Dey, certify that:</w:t>
      </w:r>
    </w:p>
    <w:p>
      <w:pPr>
        <w:pStyle w:val="TextBody"/>
        <w:bidi w:val="0"/>
        <w:spacing w:before="0" w:after="0"/>
        <w:ind w:left="0" w:right="0" w:hanging="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85"/>
        <w:gridCol w:w="6485"/>
      </w:tblGrid>
      <w:tr>
        <w:trPr/>
        <w:tc>
          <w:tcPr>
            <w:tcW w:w="185" w:type="dxa"/>
            <w:tcBorders/>
            <w:vAlign w:val="center"/>
          </w:tcPr>
          <w:p>
            <w:pPr>
              <w:pStyle w:val="TableContents"/>
              <w:bidi w:val="0"/>
              <w:spacing w:before="0" w:after="283"/>
              <w:jc w:val="both"/>
              <w:rPr>
                <w:sz w:val="20"/>
              </w:rPr>
            </w:pPr>
            <w:r>
              <w:rPr>
                <w:sz w:val="20"/>
              </w:rPr>
              <w:t>1.</w:t>
            </w:r>
          </w:p>
        </w:tc>
        <w:tc>
          <w:tcPr>
            <w:tcW w:w="6485" w:type="dxa"/>
            <w:tcBorders/>
            <w:vAlign w:val="center"/>
          </w:tcPr>
          <w:p>
            <w:pPr>
              <w:pStyle w:val="TableContents"/>
              <w:bidi w:val="0"/>
              <w:spacing w:before="0" w:after="283"/>
              <w:jc w:val="both"/>
              <w:rPr>
                <w:sz w:val="20"/>
              </w:rPr>
            </w:pPr>
            <w:r>
              <w:rPr>
                <w:sz w:val="20"/>
              </w:rPr>
              <w:t>I have reviewed this quarterly report on Form 10-Q of Bluejay Diagnostics, Inc.;</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sz w:val="20"/>
              </w:rPr>
            </w:pPr>
            <w:r>
              <w:rPr>
                <w:sz w:val="20"/>
              </w:rPr>
              <w:t>a.</w:t>
            </w:r>
          </w:p>
        </w:tc>
        <w:tc>
          <w:tcPr>
            <w:tcW w:w="9975"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sz w:val="20"/>
              </w:rPr>
            </w:pPr>
            <w:r>
              <w:rPr>
                <w:sz w:val="20"/>
              </w:rPr>
              <w:t>b.</w:t>
            </w:r>
          </w:p>
        </w:tc>
        <w:tc>
          <w:tcPr>
            <w:tcW w:w="9960"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sz w:val="20"/>
              </w:rPr>
            </w:pPr>
            <w:r>
              <w:rPr>
                <w:sz w:val="20"/>
              </w:rPr>
              <w:t>c.</w:t>
            </w:r>
          </w:p>
        </w:tc>
        <w:tc>
          <w:tcPr>
            <w:tcW w:w="997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sz w:val="20"/>
              </w:rPr>
            </w:pPr>
            <w:r>
              <w:rPr>
                <w:sz w:val="20"/>
              </w:rPr>
              <w:t>d.</w:t>
            </w:r>
          </w:p>
        </w:tc>
        <w:tc>
          <w:tcPr>
            <w:tcW w:w="9960"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sz w:val="20"/>
              </w:rPr>
            </w:pPr>
            <w:r>
              <w:rPr>
                <w:sz w:val="20"/>
              </w:rPr>
              <w:t>a.</w:t>
            </w:r>
          </w:p>
        </w:tc>
        <w:tc>
          <w:tcPr>
            <w:tcW w:w="9975"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sz w:val="20"/>
              </w:rPr>
            </w:pPr>
            <w:r>
              <w:rPr>
                <w:sz w:val="20"/>
              </w:rPr>
              <w:t>b.</w:t>
            </w:r>
          </w:p>
        </w:tc>
        <w:tc>
          <w:tcPr>
            <w:tcW w:w="9960"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1865"/>
        <w:gridCol w:w="320"/>
        <w:gridCol w:w="3095"/>
      </w:tblGrid>
      <w:tr>
        <w:trPr/>
        <w:tc>
          <w:tcPr>
            <w:tcW w:w="1865" w:type="dxa"/>
            <w:tcBorders/>
            <w:vAlign w:val="center"/>
          </w:tcPr>
          <w:p>
            <w:pPr>
              <w:pStyle w:val="TableContents"/>
              <w:bidi w:val="0"/>
              <w:spacing w:before="0" w:after="283"/>
              <w:jc w:val="left"/>
              <w:rPr>
                <w:sz w:val="20"/>
              </w:rPr>
            </w:pPr>
            <w:r>
              <w:rPr>
                <w:sz w:val="20"/>
              </w:rPr>
              <w:t>Date: August 12, 2026</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Neil Dey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991601ex31-2.htm"/>
      <w:bookmarkStart w:id="24" w:name="ksea029991601ex312"/>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Neil Dey, certify that:</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85"/>
        <w:gridCol w:w="6485"/>
      </w:tblGrid>
      <w:tr>
        <w:trPr/>
        <w:tc>
          <w:tcPr>
            <w:tcW w:w="185" w:type="dxa"/>
            <w:tcBorders/>
            <w:vAlign w:val="center"/>
          </w:tcPr>
          <w:p>
            <w:pPr>
              <w:pStyle w:val="TableContents"/>
              <w:bidi w:val="0"/>
              <w:spacing w:before="0" w:after="283"/>
              <w:jc w:val="left"/>
              <w:rPr>
                <w:sz w:val="20"/>
              </w:rPr>
            </w:pPr>
            <w:r>
              <w:rPr>
                <w:sz w:val="20"/>
              </w:rPr>
              <w:t>1.</w:t>
            </w:r>
          </w:p>
        </w:tc>
        <w:tc>
          <w:tcPr>
            <w:tcW w:w="6485" w:type="dxa"/>
            <w:tcBorders/>
            <w:vAlign w:val="center"/>
          </w:tcPr>
          <w:p>
            <w:pPr>
              <w:pStyle w:val="TableContents"/>
              <w:bidi w:val="0"/>
              <w:spacing w:before="0" w:after="283"/>
              <w:jc w:val="both"/>
              <w:rPr>
                <w:sz w:val="20"/>
              </w:rPr>
            </w:pPr>
            <w:r>
              <w:rPr>
                <w:sz w:val="20"/>
              </w:rPr>
              <w:t>I have reviewed this quarterly report on Form 10-Q of Bluejay Diagnostics, Inc.;</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sz w:val="20"/>
              </w:rPr>
            </w:pPr>
            <w:r>
              <w:rPr>
                <w:sz w:val="20"/>
              </w:rPr>
              <w:t>a.</w:t>
            </w:r>
          </w:p>
        </w:tc>
        <w:tc>
          <w:tcPr>
            <w:tcW w:w="9975"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sz w:val="20"/>
              </w:rPr>
            </w:pPr>
            <w:r>
              <w:rPr>
                <w:sz w:val="20"/>
              </w:rPr>
              <w:t>b.</w:t>
            </w:r>
          </w:p>
        </w:tc>
        <w:tc>
          <w:tcPr>
            <w:tcW w:w="9960"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sz w:val="20"/>
              </w:rPr>
            </w:pPr>
            <w:r>
              <w:rPr>
                <w:sz w:val="20"/>
              </w:rPr>
              <w:t>c.</w:t>
            </w:r>
          </w:p>
        </w:tc>
        <w:tc>
          <w:tcPr>
            <w:tcW w:w="997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sz w:val="20"/>
              </w:rPr>
            </w:pPr>
            <w:r>
              <w:rPr>
                <w:sz w:val="20"/>
              </w:rPr>
              <w:t>d.</w:t>
            </w:r>
          </w:p>
        </w:tc>
        <w:tc>
          <w:tcPr>
            <w:tcW w:w="9960"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sz w:val="20"/>
              </w:rPr>
            </w:pPr>
            <w:r>
              <w:rPr>
                <w:sz w:val="20"/>
              </w:rPr>
              <w:t>a.</w:t>
            </w:r>
          </w:p>
        </w:tc>
        <w:tc>
          <w:tcPr>
            <w:tcW w:w="9975"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sz w:val="20"/>
              </w:rPr>
            </w:pPr>
            <w:r>
              <w:rPr>
                <w:sz w:val="20"/>
              </w:rPr>
              <w:t>b.</w:t>
            </w:r>
          </w:p>
        </w:tc>
        <w:tc>
          <w:tcPr>
            <w:tcW w:w="9960"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715" w:type="dxa"/>
        <w:jc w:val="left"/>
        <w:tblInd w:w="0" w:type="dxa"/>
        <w:tblLayout w:type="fixed"/>
        <w:tblCellMar>
          <w:top w:w="0" w:type="dxa"/>
          <w:left w:w="0" w:type="dxa"/>
          <w:bottom w:w="0" w:type="dxa"/>
          <w:right w:w="0" w:type="dxa"/>
        </w:tblCellMar>
      </w:tblPr>
      <w:tblGrid>
        <w:gridCol w:w="1865"/>
        <w:gridCol w:w="320"/>
        <w:gridCol w:w="3530"/>
      </w:tblGrid>
      <w:tr>
        <w:trPr/>
        <w:tc>
          <w:tcPr>
            <w:tcW w:w="1865" w:type="dxa"/>
            <w:tcBorders/>
            <w:vAlign w:val="center"/>
          </w:tcPr>
          <w:p>
            <w:pPr>
              <w:pStyle w:val="TableContents"/>
              <w:bidi w:val="0"/>
              <w:spacing w:before="0" w:after="283"/>
              <w:jc w:val="left"/>
              <w:rPr>
                <w:sz w:val="20"/>
              </w:rPr>
            </w:pPr>
            <w:r>
              <w:rPr>
                <w:sz w:val="20"/>
              </w:rPr>
              <w:t>Date: August 12, 2026</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5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sz w:val="20"/>
              </w:rPr>
            </w:pPr>
            <w:r>
              <w:rPr>
                <w:sz w:val="20"/>
              </w:rPr>
              <w:t>Neil Dey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sz w:val="20"/>
              </w:rPr>
            </w:pPr>
            <w:r>
              <w:rPr>
                <w:sz w:val="20"/>
              </w:rPr>
              <w:t>President and 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9991601ex32-1.htm"/>
      <w:bookmarkStart w:id="26" w:name="ksea029991601ex321"/>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the undersigned officer of Bluejay Diagnostics, Inc., a Delaware corporation (the “Company”), does hereby certify, to such officer’s knowledge,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for the quarter ended June 30, 2026 (the “Form 10-Q”) of the Company fully complies with the requirements of section 13(a) or 15(d) of the Securities Exchange Act of 1934, as amended and information contained in the Form 10-Q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1865"/>
        <w:gridCol w:w="320"/>
        <w:gridCol w:w="3095"/>
      </w:tblGrid>
      <w:tr>
        <w:trPr/>
        <w:tc>
          <w:tcPr>
            <w:tcW w:w="1865" w:type="dxa"/>
            <w:tcBorders/>
            <w:vAlign w:val="center"/>
          </w:tcPr>
          <w:p>
            <w:pPr>
              <w:pStyle w:val="TableContents"/>
              <w:bidi w:val="0"/>
              <w:spacing w:before="0" w:after="283"/>
              <w:jc w:val="left"/>
              <w:rPr>
                <w:sz w:val="20"/>
              </w:rPr>
            </w:pPr>
            <w:r>
              <w:rPr>
                <w:sz w:val="20"/>
              </w:rPr>
              <w:t>Date: August 12, 2026</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Neil Dey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9991601ex32-2.htm"/>
      <w:bookmarkStart w:id="28" w:name="ksea029991601ex322"/>
      <w:bookmarkEnd w:id="27"/>
      <w:bookmarkEnd w:id="28"/>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the undersigned officer of Bluejay Diagnostics, Inc., a Delaware corporation (the “Company”), does hereby certify, to such officer’s knowledge,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for the quarter ended June 30, 2026 (the “Form 10-Q”) of the Company fully complies with the requirements of section 13(a) or 15(d) of the Securities Exchange Act of 1934, as amended and information contained in the Form 10-Q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5715" w:type="dxa"/>
        <w:jc w:val="left"/>
        <w:tblInd w:w="0" w:type="dxa"/>
        <w:tblLayout w:type="fixed"/>
        <w:tblCellMar>
          <w:top w:w="0" w:type="dxa"/>
          <w:left w:w="0" w:type="dxa"/>
          <w:bottom w:w="0" w:type="dxa"/>
          <w:right w:w="0" w:type="dxa"/>
        </w:tblCellMar>
      </w:tblPr>
      <w:tblGrid>
        <w:gridCol w:w="1865"/>
        <w:gridCol w:w="320"/>
        <w:gridCol w:w="3530"/>
      </w:tblGrid>
      <w:tr>
        <w:trPr/>
        <w:tc>
          <w:tcPr>
            <w:tcW w:w="1865" w:type="dxa"/>
            <w:tcBorders/>
            <w:vAlign w:val="center"/>
          </w:tcPr>
          <w:p>
            <w:pPr>
              <w:pStyle w:val="TableContents"/>
              <w:bidi w:val="0"/>
              <w:spacing w:before="0" w:after="283"/>
              <w:jc w:val="left"/>
              <w:rPr>
                <w:sz w:val="20"/>
              </w:rPr>
            </w:pPr>
            <w:r>
              <w:rPr>
                <w:sz w:val="20"/>
              </w:rPr>
              <w:t>Date: August 12, 2026</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5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sz w:val="20"/>
              </w:rPr>
            </w:pPr>
            <w:r>
              <w:rPr>
                <w:sz w:val="20"/>
              </w:rPr>
              <w:t>Neil Dey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sz w:val="20"/>
              </w:rPr>
            </w:pPr>
            <w:r>
              <w:rPr>
                <w:sz w:val="20"/>
              </w:rPr>
              <w:t>President and 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04287/000121390026066364/ea029339001ex4-1.htm" TargetMode="External"/><Relationship Id="rId3" Type="http://schemas.openxmlformats.org/officeDocument/2006/relationships/hyperlink" Target="http://www.sec.gov/Archives/edgar/data/1704287/000121390026066364/ea029339001ex4-2.htm" TargetMode="External"/><Relationship Id="rId4" Type="http://schemas.openxmlformats.org/officeDocument/2006/relationships/hyperlink" Target="http://www.sec.gov/Archives/edgar/data/1704287/000121390026066364/ea029339001ex4-3.htm" TargetMode="External"/><Relationship Id="rId5" Type="http://schemas.openxmlformats.org/officeDocument/2006/relationships/hyperlink" Target="http://www.sec.gov/Archives/edgar/data/1704287/000121390026066364/ea029339001ex4-4.htm" TargetMode="External"/><Relationship Id="rId6" Type="http://schemas.openxmlformats.org/officeDocument/2006/relationships/hyperlink" Target="http://www.sec.gov/Archives/edgar/data/1704287/000121390026066896/ea029420901ex10-1.htm" TargetMode="External"/><Relationship Id="rId7" Type="http://schemas.openxmlformats.org/officeDocument/2006/relationships/hyperlink" Target="http://www.sec.gov/Archives/edgar/data/1704287/000121390026063767/ea029311801ex10-1.htm" TargetMode="External"/><Relationship Id="rId8" Type="http://schemas.openxmlformats.org/officeDocument/2006/relationships/hyperlink" Target="http://www.sec.gov/Archives/edgar/data/1704287/000121390026066364/ea029339001ex10-1.htm" TargetMode="External"/><Relationship Id="rId9" Type="http://schemas.openxmlformats.org/officeDocument/2006/relationships/hyperlink" Target="http://www.sec.gov/Archives/edgar/data/1704287/000121390026066364/ea029339001ex10-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17051</Words>
  <Characters>92632</Characters>
  <CharactersWithSpaces>110589</CharactersWithSpaces>
  <Paragraphs>3615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