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4209-8k_bluejay.htm"/>
      <w:bookmarkStart w:id="1" w:name="ksea02942098k_bluejay"/>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609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E_edei--DocumentPeriodEndDate_c202"/>
      <w:bookmarkEnd w:id="3"/>
      <w:r>
        <w:rPr>
          <w:rFonts w:ascii="Times New Roman;Times;Serif" w:hAnsi="Times New Roman;Times;Serif"/>
          <w:b/>
          <w:i w:val="false"/>
          <w:caps w:val="false"/>
          <w:smallCaps w:val="false"/>
          <w:sz w:val="20"/>
        </w:rPr>
        <w:t>June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4_edei--EntityRegistrantName_c2026"/>
      <w:bookmarkEnd w:id="4"/>
      <w:r>
        <w:rPr>
          <w:rFonts w:ascii="Times New Roman;Times;Serif" w:hAnsi="Times New Roman;Times;Serif"/>
          <w:b/>
          <w:i w:val="false"/>
          <w:caps w:val="false"/>
          <w:smallCaps w:val="false"/>
          <w:sz w:val="20"/>
        </w:rPr>
        <w:t>Bluejay Diagnostics,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525"/>
        <w:gridCol w:w="60"/>
        <w:gridCol w:w="1850"/>
        <w:gridCol w:w="60"/>
        <w:gridCol w:w="153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caps/>
                <w:sz w:val="20"/>
              </w:rPr>
            </w:pPr>
            <w:bookmarkStart w:id="5" w:name="xdx_90A_edei--EntityIncorporationStateCo"/>
            <w:bookmarkEnd w:id="5"/>
            <w:r>
              <w:rPr>
                <w:rFonts w:ascii="Times New Roman;Times;Serif" w:hAnsi="Times New Roman;Times;Serif"/>
                <w:b/>
                <w:caps/>
                <w:sz w:val="20"/>
              </w:rPr>
              <w:t>delaware</w:t>
            </w:r>
          </w:p>
        </w:tc>
        <w:tc>
          <w:tcPr>
            <w:tcW w:w="60" w:type="dxa"/>
            <w:tcBorders/>
            <w:tcMar>
              <w:bottom w:w="0" w:type="dxa"/>
            </w:tcMar>
            <w:vAlign w:val="center"/>
          </w:tcPr>
          <w:p>
            <w:pPr>
              <w:pStyle w:val="TableContents"/>
              <w:bidi w:val="0"/>
              <w:spacing w:before="0" w:after="283"/>
              <w:jc w:val="left"/>
              <w:rPr/>
            </w:pPr>
            <w:r>
              <w:rPr/>
              <w:t> </w:t>
            </w:r>
          </w:p>
        </w:tc>
        <w:tc>
          <w:tcPr>
            <w:tcW w:w="18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60609"/>
            <w:bookmarkEnd w:id="6"/>
            <w:r>
              <w:rPr>
                <w:rFonts w:ascii="Times New Roman;Times;Serif" w:hAnsi="Times New Roman;Times;Serif"/>
                <w:b/>
                <w:sz w:val="20"/>
              </w:rPr>
              <w:t>001-41031</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47-3552922</w:t>
            </w:r>
          </w:p>
        </w:tc>
      </w:tr>
      <w:tr>
        <w:trPr/>
        <w:tc>
          <w:tcPr>
            <w:tcW w:w="25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8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No.)</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br/>
              <w:t>Identification No.)</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360 Massachusetts Avenue, </w:t>
      </w:r>
      <w:bookmarkStart w:id="9" w:name="xdx_90D_edei--EntityAddressAddressLine2_"/>
      <w:bookmarkEnd w:id="9"/>
      <w:r>
        <w:rPr>
          <w:rFonts w:ascii="Times New Roman;Times;Serif" w:hAnsi="Times New Roman;Times;Serif"/>
          <w:b/>
          <w:i w:val="false"/>
          <w:caps w:val="false"/>
          <w:smallCaps w:val="false"/>
          <w:sz w:val="20"/>
        </w:rPr>
        <w:t>Suite 203</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Acton, </w:t>
      </w:r>
      <w:bookmarkStart w:id="11" w:name="xdx_903_edei--EntityAddressStateOrProvin"/>
      <w:bookmarkEnd w:id="11"/>
      <w:r>
        <w:rPr>
          <w:rFonts w:ascii="Times New Roman;Times;Serif" w:hAnsi="Times New Roman;Times;Serif"/>
          <w:b/>
          <w:i w:val="false"/>
          <w:caps w:val="false"/>
          <w:smallCaps w:val="false"/>
          <w:sz w:val="20"/>
        </w:rPr>
        <w:t xml:space="preserve">MA </w:t>
      </w:r>
      <w:bookmarkStart w:id="12" w:name="xdx_90F_edei--EntityAddressPostalZipCode"/>
      <w:bookmarkEnd w:id="12"/>
      <w:r>
        <w:rPr>
          <w:rFonts w:ascii="Times New Roman;Times;Serif" w:hAnsi="Times New Roman;Times;Serif"/>
          <w:b/>
          <w:i w:val="false"/>
          <w:caps w:val="false"/>
          <w:smallCaps w:val="false"/>
          <w:sz w:val="20"/>
        </w:rPr>
        <w:t>01720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1_edei--CityAreaCode_c20260609__20"/>
      <w:bookmarkEnd w:id="13"/>
      <w:r>
        <w:rPr>
          <w:rFonts w:ascii="Times New Roman;Times;Serif" w:hAnsi="Times New Roman;Times;Serif"/>
          <w:b/>
          <w:i w:val="false"/>
          <w:caps w:val="false"/>
          <w:smallCaps w:val="false"/>
          <w:sz w:val="20"/>
        </w:rPr>
        <w:t xml:space="preserve">844) </w:t>
      </w:r>
      <w:bookmarkStart w:id="14" w:name="xdx_90E_edei--LocalPhoneNumber_c20260609"/>
      <w:bookmarkEnd w:id="14"/>
      <w:r>
        <w:rPr>
          <w:rFonts w:ascii="Times New Roman;Times;Serif" w:hAnsi="Times New Roman;Times;Serif"/>
          <w:b/>
          <w:i w:val="false"/>
          <w:caps w:val="false"/>
          <w:smallCaps w:val="false"/>
          <w:sz w:val="20"/>
        </w:rPr>
        <w:t>327-7078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from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F_edei--SolicitingMaterial_c202606"/>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9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400" w:type="dxa"/>
        <w:jc w:val="left"/>
        <w:tblInd w:w="0" w:type="dxa"/>
        <w:tblLayout w:type="fixed"/>
        <w:tblCellMar>
          <w:top w:w="0" w:type="dxa"/>
          <w:left w:w="0" w:type="dxa"/>
          <w:bottom w:w="0" w:type="dxa"/>
          <w:right w:w="0" w:type="dxa"/>
        </w:tblCellMar>
      </w:tblPr>
      <w:tblGrid>
        <w:gridCol w:w="245"/>
        <w:gridCol w:w="9155"/>
      </w:tblGrid>
      <w:tr>
        <w:trPr/>
        <w:tc>
          <w:tcPr>
            <w:tcW w:w="245" w:type="dxa"/>
            <w:tcBorders/>
            <w:vAlign w:val="center"/>
          </w:tcPr>
          <w:p>
            <w:pPr>
              <w:pStyle w:val="TableContents"/>
              <w:bidi w:val="0"/>
              <w:spacing w:before="0" w:after="283"/>
              <w:jc w:val="left"/>
              <w:rPr/>
            </w:pPr>
            <w:bookmarkStart w:id="18" w:name="xdx_903_edei--PreCommencementIssuerTende"/>
            <w:bookmarkEnd w:id="18"/>
            <w:r>
              <w:rPr/>
              <w:t>☐</w:t>
            </w:r>
          </w:p>
        </w:tc>
        <w:tc>
          <w:tcPr>
            <w:tcW w:w="9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240.13e-14(c)).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19" w:name="xdx_908_edei--EntityEmergingGrowthCompan"/>
      <w:bookmarkEnd w:id="1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0" w:name="xdx_902_edei--EntityExTransitionPeriod_c"/>
      <w:bookmarkEnd w:id="20"/>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105" w:type="dxa"/>
        <w:jc w:val="left"/>
        <w:tblInd w:w="0" w:type="dxa"/>
        <w:tblLayout w:type="fixed"/>
        <w:tblCellMar>
          <w:top w:w="0" w:type="dxa"/>
          <w:left w:w="0" w:type="dxa"/>
          <w:bottom w:w="28" w:type="dxa"/>
          <w:right w:w="0" w:type="dxa"/>
        </w:tblCellMar>
      </w:tblPr>
      <w:tblGrid>
        <w:gridCol w:w="3620"/>
        <w:gridCol w:w="60"/>
        <w:gridCol w:w="1655"/>
        <w:gridCol w:w="60"/>
        <w:gridCol w:w="3710"/>
      </w:tblGrid>
      <w:tr>
        <w:trPr/>
        <w:tc>
          <w:tcPr>
            <w:tcW w:w="362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5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 (s)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3_edei--Security12bTitle_c20260609"/>
            <w:bookmarkEnd w:id="21"/>
            <w:r>
              <w:rPr>
                <w:rFonts w:ascii="Times New Roman;Times;Serif" w:hAnsi="Times New Roman;Times;Serif"/>
                <w:sz w:val="20"/>
              </w:rPr>
              <w:t>Common Stock, par value $0.0001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5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4_edei--TradingSymbol_c20260609__2"/>
            <w:bookmarkEnd w:id="22"/>
            <w:r>
              <w:rPr>
                <w:rFonts w:ascii="Times New Roman;Times;Serif" w:hAnsi="Times New Roman;Times;Serif"/>
                <w:sz w:val="20"/>
              </w:rPr>
              <w:t>BJDX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The</w:t>
            </w:r>
            <w:bookmarkStart w:id="23" w:name="xdx_906_edei--SecurityExchangeName_c2026"/>
            <w:bookmarkEnd w:id="23"/>
            <w:r>
              <w:rPr>
                <w:rFonts w:ascii="Times New Roman;Times;Serif" w:hAnsi="Times New Roman;Times;Serif"/>
                <w:sz w:val="20"/>
              </w:rPr>
              <w:t xml:space="preserv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b/>
        </w:rPr>
        <w:t>Item 5.02</w:t>
      </w:r>
      <w:r>
        <w:rPr/>
        <w:t xml:space="preserve"> </w:t>
      </w:r>
      <w:r>
        <w:rPr>
          <w:b/>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Bluejay Diagnostics, Inc. (the “Company”) held its 2026 annual meeting of stockholders (the “Annual Meeting”). At the Annual Meeting, the Company’s stockholders approved Amendment No. 1 (the “Plan Amendment”) to the Bluejay Diagnostics, Inc. 2021 Stock Plan (the “Stock Plan”). The Plan Amendment increases the number of shares of the Company’s common stock reserved for issuance under the Stock Plan by 600,000 shares (from 61 shares to 600,061 shares). The text of the Stock Plan, as amended by the Plan Amendment, is filed herewith as Exhibit 10.1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b/>
        </w:rPr>
        <w:t>Item 5.07</w:t>
      </w:r>
      <w:r>
        <w:rPr/>
        <w:t xml:space="preserve"> </w:t>
      </w:r>
      <w:r>
        <w:rPr>
          <w:b/>
        </w:rPr>
        <w:t>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9, 2026, the Company held the Annual Meeting. As of April 28, 2026, the record date for the Annual Meeting, there were 1,034,715 shares of the Company’s common stock issued and outstanding and entitled to vote on the proposals presented at the Annual Meeting, of which 414,092 were present in person or represented by proxy, which constituted a quorum. Stockholders are entitled to one vote for each share of common stock held. Set forth below are the final voting results for each of the proposals submitted to a vote of the Company’s stockholders at the Annual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1. Election of Directors</w:t>
      </w:r>
      <w:r>
        <w:rPr>
          <w:rFonts w:ascii="Times New Roman;Times;Serif" w:hAnsi="Times New Roman;Times;Serif"/>
          <w:b w:val="false"/>
          <w:i w:val="false"/>
          <w:caps w:val="false"/>
          <w:smallCaps w:val="false"/>
          <w:sz w:val="20"/>
        </w:rPr>
        <w:t xml:space="preserve"> - The Company’s stockholders re-elected each of Donald Chase, Neil Dey, Svetlana Dey, Douglas Wurth and Fred Zeidman to serve as directors until the Company’s 2027 annual meeting of stockholders, or until their successors are duly elected and qualified.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for the proposal were as follows:</w:t>
      </w:r>
    </w:p>
    <w:p>
      <w:pPr>
        <w:pStyle w:val="TextBody"/>
        <w:bidi w:val="0"/>
        <w:spacing w:before="0" w:after="0"/>
        <w:ind w:left="0" w:right="0" w:hanging="0"/>
        <w:jc w:val="left"/>
        <w:rPr>
          <w:caps w:val="false"/>
          <w:smallCaps w:val="false"/>
        </w:rPr>
      </w:pPr>
      <w:r>
        <w:rPr>
          <w:caps w:val="false"/>
          <w:smallCaps w:val="false"/>
        </w:rPr>
        <w:t> </w:t>
      </w:r>
    </w:p>
    <w:tbl>
      <w:tblPr>
        <w:tblW w:w="4219" w:type="dxa"/>
        <w:jc w:val="left"/>
        <w:tblInd w:w="0" w:type="dxa"/>
        <w:tblLayout w:type="fixed"/>
        <w:tblCellMar>
          <w:top w:w="0" w:type="dxa"/>
          <w:left w:w="0" w:type="dxa"/>
          <w:bottom w:w="28" w:type="dxa"/>
          <w:right w:w="0" w:type="dxa"/>
        </w:tblCellMar>
      </w:tblPr>
      <w:tblGrid>
        <w:gridCol w:w="1310"/>
        <w:gridCol w:w="60"/>
        <w:gridCol w:w="67"/>
        <w:gridCol w:w="777"/>
        <w:gridCol w:w="60"/>
        <w:gridCol w:w="60"/>
        <w:gridCol w:w="73"/>
        <w:gridCol w:w="727"/>
        <w:gridCol w:w="60"/>
        <w:gridCol w:w="60"/>
        <w:gridCol w:w="70"/>
        <w:gridCol w:w="820"/>
        <w:gridCol w:w="75"/>
      </w:tblGrid>
      <w:tr>
        <w:trPr/>
        <w:tc>
          <w:tcPr>
            <w:tcW w:w="131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Director Name</w:t>
            </w:r>
          </w:p>
        </w:tc>
        <w:tc>
          <w:tcPr>
            <w:tcW w:w="60" w:type="dxa"/>
            <w:tcBorders/>
            <w:tcMar>
              <w:bottom w:w="0" w:type="dxa"/>
            </w:tcMar>
            <w:vAlign w:val="center"/>
          </w:tcPr>
          <w:p>
            <w:pPr>
              <w:pStyle w:val="TableContents"/>
              <w:bidi w:val="0"/>
              <w:spacing w:before="0" w:after="283"/>
              <w:jc w:val="center"/>
              <w:rPr/>
            </w:pPr>
            <w:r>
              <w:rPr/>
              <w:t> </w:t>
            </w:r>
          </w:p>
        </w:tc>
        <w:tc>
          <w:tcPr>
            <w:tcW w:w="844"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0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w:t>
              <w:br/>
              <w:t>Withheld</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w:t>
              <w:br/>
              <w:t>Non-Votes</w:t>
            </w:r>
          </w:p>
        </w:tc>
        <w:tc>
          <w:tcPr>
            <w:tcW w:w="75" w:type="dxa"/>
            <w:tcBorders/>
            <w:tcMar>
              <w:bottom w:w="0" w:type="dxa"/>
            </w:tcMar>
            <w:vAlign w:val="center"/>
          </w:tcPr>
          <w:p>
            <w:pPr>
              <w:pStyle w:val="TableContents"/>
              <w:bidi w:val="0"/>
              <w:spacing w:before="0" w:after="283"/>
              <w:jc w:val="center"/>
              <w:rPr/>
            </w:pPr>
            <w:r>
              <w:rPr/>
              <w:t> </w:t>
            </w:r>
          </w:p>
        </w:tc>
      </w:tr>
      <w:tr>
        <w:trPr/>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Donald Chase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207,410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Neil Dey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7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207,842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183,124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Svetlana Dey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207,327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183,124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3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Douglas Wurth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7" w:type="dxa"/>
            <w:tcBorders/>
            <w:shd w:fill="FFFFFF" w:val="clear"/>
            <w:tcMar>
              <w:bottom w:w="0" w:type="dxa"/>
            </w:tcMar>
            <w:vAlign w:val="center"/>
          </w:tcPr>
          <w:p>
            <w:pPr>
              <w:pStyle w:val="TableContents"/>
              <w:bidi w:val="0"/>
              <w:spacing w:before="0" w:after="283"/>
              <w:jc w:val="left"/>
              <w:rPr/>
            </w:pPr>
            <w:r>
              <w:rPr/>
              <w:t> </w:t>
            </w:r>
          </w:p>
        </w:tc>
        <w:tc>
          <w:tcPr>
            <w:tcW w:w="77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207,337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p>
        </w:tc>
        <w:tc>
          <w:tcPr>
            <w:tcW w:w="72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183,124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31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 Zeidman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7" w:type="dxa"/>
            <w:tcBorders/>
            <w:shd w:fill="CCEEFF" w:val="clear"/>
            <w:tcMar>
              <w:bottom w:w="0" w:type="dxa"/>
            </w:tcMar>
            <w:vAlign w:val="center"/>
          </w:tcPr>
          <w:p>
            <w:pPr>
              <w:pStyle w:val="TableContents"/>
              <w:bidi w:val="0"/>
              <w:spacing w:before="0" w:after="283"/>
              <w:jc w:val="left"/>
              <w:rPr/>
            </w:pPr>
            <w:r>
              <w:rPr/>
              <w:t> </w:t>
            </w:r>
          </w:p>
        </w:tc>
        <w:tc>
          <w:tcPr>
            <w:tcW w:w="77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207,334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72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23,634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183,124</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2. Approve and adopt an amendment to the Company’s amended and restated certificate of incorporation, as amended, and effect a reverse stock split of the Company’s common stock -</w:t>
      </w:r>
      <w:r>
        <w:rPr>
          <w:rFonts w:ascii="Times New Roman;Times;Serif" w:hAnsi="Times New Roman;Times;Serif"/>
          <w:b w:val="false"/>
          <w:i w:val="false"/>
          <w:caps w:val="false"/>
          <w:smallCaps w:val="false"/>
          <w:sz w:val="20"/>
        </w:rPr>
        <w:t xml:space="preserve"> The Company’s stockholders approved and adopted an amendment to the Company’s certificate of incorporation to effect a reverse stock split of all of the Company’s outstanding shares of common stock by one of several fixed ratios between 1-for-2 and 1-for-20 (the “Reverse Stock Split”), with the final decision as to whether to proceed with the Reverse Stock Split, the effective time of the Reverse Stock Split (which may not be later than June 9, 2027), and the exact ratio of the Reverse Stock Split to be determined in the future by the Company’s board of directors (the “Board”), in its sole discretion and without further action by the Company’s stockholders. The Board has no present intention to implement the Reverse Stock Split during the 12-month period for which approval has been obtained. The Board sought approval of the Reverse Stock Split to give the Company flexibility in the future in the event that the Company’s common stock significantly declines in value and no longer meets Nasdaq’s minimum $1.00 minimum bid price requirement. On June 9, 2026, the closing price of the Company’s common stock was $4.50, and the Company was in compliance with all Nasdaq listing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for the proposal were as follows:</w:t>
      </w:r>
    </w:p>
    <w:p>
      <w:pPr>
        <w:pStyle w:val="TextBody"/>
        <w:bidi w:val="0"/>
        <w:spacing w:before="0" w:after="0"/>
        <w:ind w:left="0" w:right="0" w:hanging="0"/>
        <w:jc w:val="both"/>
        <w:rPr>
          <w:caps w:val="false"/>
          <w:smallCaps w:val="false"/>
        </w:rPr>
      </w:pPr>
      <w:r>
        <w:rPr>
          <w:caps w:val="false"/>
          <w:smallCaps w:val="false"/>
        </w:rPr>
        <w:t> </w:t>
      </w:r>
    </w:p>
    <w:tbl>
      <w:tblPr>
        <w:tblW w:w="3165" w:type="dxa"/>
        <w:jc w:val="left"/>
        <w:tblInd w:w="0" w:type="dxa"/>
        <w:tblLayout w:type="fixed"/>
        <w:tblCellMar>
          <w:top w:w="0" w:type="dxa"/>
          <w:left w:w="0" w:type="dxa"/>
          <w:bottom w:w="28" w:type="dxa"/>
          <w:right w:w="0" w:type="dxa"/>
        </w:tblCellMar>
      </w:tblPr>
      <w:tblGrid>
        <w:gridCol w:w="860"/>
        <w:gridCol w:w="60"/>
        <w:gridCol w:w="1175"/>
        <w:gridCol w:w="60"/>
        <w:gridCol w:w="1010"/>
      </w:tblGrid>
      <w:tr>
        <w:trPr/>
        <w:tc>
          <w:tcPr>
            <w:tcW w:w="8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center"/>
              <w:rPr/>
            </w:pPr>
            <w:r>
              <w:rPr/>
              <w:t> </w:t>
            </w:r>
          </w:p>
        </w:tc>
        <w:tc>
          <w:tcPr>
            <w:tcW w:w="10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262,891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150,322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879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3. Approve and adopt an amendment to the Company’s stock plan to increase the number of shares available for issuance thereunder -</w:t>
      </w:r>
      <w:r>
        <w:rPr>
          <w:rFonts w:ascii="Times New Roman;Times;Serif" w:hAnsi="Times New Roman;Times;Serif"/>
          <w:b w:val="false"/>
          <w:i w:val="false"/>
          <w:caps w:val="false"/>
          <w:smallCaps w:val="false"/>
          <w:sz w:val="20"/>
        </w:rPr>
        <w:t xml:space="preserve"> The Company’s stockholders approved and adopted the Plan Amendment to increase the number of shares of common stock issuable under the Stock Plan by 600,000 (from 61 shares to 600,061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for the proposal were as follows:</w:t>
      </w:r>
    </w:p>
    <w:p>
      <w:pPr>
        <w:pStyle w:val="TextBody"/>
        <w:bidi w:val="0"/>
        <w:spacing w:before="0" w:after="0"/>
        <w:ind w:left="0" w:right="0" w:hanging="0"/>
        <w:jc w:val="both"/>
        <w:rPr>
          <w:caps w:val="false"/>
          <w:smallCaps w:val="false"/>
        </w:rPr>
      </w:pPr>
      <w:r>
        <w:rPr>
          <w:caps w:val="false"/>
          <w:smallCaps w:val="false"/>
        </w:rPr>
        <w:t> </w:t>
      </w:r>
    </w:p>
    <w:tbl>
      <w:tblPr>
        <w:tblW w:w="4775" w:type="dxa"/>
        <w:jc w:val="left"/>
        <w:tblInd w:w="0" w:type="dxa"/>
        <w:tblLayout w:type="fixed"/>
        <w:tblCellMar>
          <w:top w:w="0" w:type="dxa"/>
          <w:left w:w="0" w:type="dxa"/>
          <w:bottom w:w="28" w:type="dxa"/>
          <w:right w:w="0" w:type="dxa"/>
        </w:tblCellMar>
      </w:tblPr>
      <w:tblGrid>
        <w:gridCol w:w="860"/>
        <w:gridCol w:w="60"/>
        <w:gridCol w:w="1175"/>
        <w:gridCol w:w="60"/>
        <w:gridCol w:w="995"/>
        <w:gridCol w:w="60"/>
        <w:gridCol w:w="1565"/>
      </w:tblGrid>
      <w:tr>
        <w:trPr/>
        <w:tc>
          <w:tcPr>
            <w:tcW w:w="8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Broker Non-Votes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135,750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94,058</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1,160</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56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183,124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4. Ratification of Wolf &amp; Company, P.C. as the Company’s Independent Registered Public Accounting Firm - </w:t>
      </w:r>
      <w:r>
        <w:rPr>
          <w:rFonts w:ascii="Times New Roman;Times;Serif" w:hAnsi="Times New Roman;Times;Serif"/>
          <w:b w:val="false"/>
          <w:i w:val="false"/>
          <w:caps w:val="false"/>
          <w:smallCaps w:val="false"/>
          <w:sz w:val="20"/>
        </w:rPr>
        <w:t>The Company’s stockholders ratified the appointment of Wolf &amp; Company, P.C. as the Company’s independent registered public accounting firm for the fiscal year ending December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for the proposal were as follows:</w:t>
      </w:r>
    </w:p>
    <w:p>
      <w:pPr>
        <w:pStyle w:val="TextBody"/>
        <w:bidi w:val="0"/>
        <w:spacing w:before="0" w:after="0"/>
        <w:ind w:left="0" w:right="0" w:hanging="0"/>
        <w:jc w:val="both"/>
        <w:rPr>
          <w:caps w:val="false"/>
          <w:smallCaps w:val="false"/>
        </w:rPr>
      </w:pPr>
      <w:r>
        <w:rPr>
          <w:caps w:val="false"/>
          <w:smallCaps w:val="false"/>
        </w:rPr>
        <w:t> </w:t>
      </w:r>
    </w:p>
    <w:tbl>
      <w:tblPr>
        <w:tblW w:w="3165" w:type="dxa"/>
        <w:jc w:val="left"/>
        <w:tblInd w:w="0" w:type="dxa"/>
        <w:tblLayout w:type="fixed"/>
        <w:tblCellMar>
          <w:top w:w="0" w:type="dxa"/>
          <w:left w:w="0" w:type="dxa"/>
          <w:bottom w:w="28" w:type="dxa"/>
          <w:right w:w="0" w:type="dxa"/>
        </w:tblCellMar>
      </w:tblPr>
      <w:tblGrid>
        <w:gridCol w:w="860"/>
        <w:gridCol w:w="60"/>
        <w:gridCol w:w="1175"/>
        <w:gridCol w:w="60"/>
        <w:gridCol w:w="1010"/>
      </w:tblGrid>
      <w:tr>
        <w:trPr/>
        <w:tc>
          <w:tcPr>
            <w:tcW w:w="8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center"/>
              <w:rPr/>
            </w:pPr>
            <w:r>
              <w:rPr/>
              <w:t> </w:t>
            </w:r>
          </w:p>
        </w:tc>
        <w:tc>
          <w:tcPr>
            <w:tcW w:w="117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Against</w:t>
            </w:r>
          </w:p>
        </w:tc>
        <w:tc>
          <w:tcPr>
            <w:tcW w:w="60" w:type="dxa"/>
            <w:tcBorders/>
            <w:tcMar>
              <w:bottom w:w="0" w:type="dxa"/>
            </w:tcMar>
            <w:vAlign w:val="center"/>
          </w:tcPr>
          <w:p>
            <w:pPr>
              <w:pStyle w:val="TableContents"/>
              <w:bidi w:val="0"/>
              <w:spacing w:before="0" w:after="283"/>
              <w:jc w:val="center"/>
              <w:rPr/>
            </w:pPr>
            <w:r>
              <w:rPr/>
              <w:t> </w:t>
            </w:r>
          </w:p>
        </w:tc>
        <w:tc>
          <w:tcPr>
            <w:tcW w:w="10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Abstentions</w:t>
            </w:r>
          </w:p>
        </w:tc>
      </w:tr>
      <w:tr>
        <w:trPr/>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389,052</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21,067</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0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3,973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b/>
        </w:rPr>
        <w:t>Item 9.01</w:t>
      </w:r>
      <w:r>
        <w:rPr/>
        <w:t xml:space="preserve"> </w:t>
      </w:r>
      <w:r>
        <w:rPr>
          <w:b/>
        </w:rPr>
        <w:t>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8470" w:type="dxa"/>
        <w:jc w:val="left"/>
        <w:tblInd w:w="0" w:type="dxa"/>
        <w:tblLayout w:type="fixed"/>
        <w:tblCellMar>
          <w:top w:w="0" w:type="dxa"/>
          <w:left w:w="0" w:type="dxa"/>
          <w:bottom w:w="28" w:type="dxa"/>
          <w:right w:w="0" w:type="dxa"/>
        </w:tblCellMar>
      </w:tblPr>
      <w:tblGrid>
        <w:gridCol w:w="665"/>
        <w:gridCol w:w="60"/>
        <w:gridCol w:w="7745"/>
      </w:tblGrid>
      <w:tr>
        <w:trPr/>
        <w:tc>
          <w:tcPr>
            <w:tcW w:w="66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w:t>
            </w:r>
          </w:p>
        </w:tc>
        <w:tc>
          <w:tcPr>
            <w:tcW w:w="60" w:type="dxa"/>
            <w:tcBorders/>
            <w:tcMar>
              <w:bottom w:w="0" w:type="dxa"/>
            </w:tcMar>
            <w:vAlign w:val="center"/>
          </w:tcPr>
          <w:p>
            <w:pPr>
              <w:pStyle w:val="TableContents"/>
              <w:bidi w:val="0"/>
              <w:spacing w:before="0" w:after="283"/>
              <w:jc w:val="both"/>
              <w:rPr/>
            </w:pPr>
            <w:r>
              <w:rPr/>
              <w:t> </w:t>
            </w:r>
          </w:p>
        </w:tc>
        <w:tc>
          <w:tcPr>
            <w:tcW w:w="7745" w:type="dxa"/>
            <w:tcBorders>
              <w:bottom w:val="single" w:sz="12"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66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7745" w:type="dxa"/>
            <w:tcBorders/>
            <w:shd w:fill="CCEEFF" w:val="clear"/>
            <w:tcMar>
              <w:bottom w:w="0" w:type="dxa"/>
            </w:tcMar>
            <w:vAlign w:val="center"/>
          </w:tcPr>
          <w:p>
            <w:pPr>
              <w:pStyle w:val="TableContents"/>
              <w:bidi w:val="0"/>
              <w:spacing w:before="0" w:after="283"/>
              <w:jc w:val="both"/>
              <w:rPr/>
            </w:pPr>
            <w:hyperlink w:anchor="ea029420901ex10-1.htm">
              <w:r>
                <w:rPr>
                  <w:rStyle w:val="InternetLink"/>
                  <w:rFonts w:ascii="Times New Roman;Times;Serif" w:hAnsi="Times New Roman;Times;Serif"/>
                  <w:sz w:val="20"/>
                </w:rPr>
                <w:t>Bluejay Diagnostics, Inc. 2021 Stock Plan, as amended by Amendment No. 1 thereto.</w:t>
              </w:r>
            </w:hyperlink>
          </w:p>
        </w:tc>
      </w:tr>
      <w:tr>
        <w:trPr/>
        <w:tc>
          <w:tcPr>
            <w:tcW w:w="665" w:type="dxa"/>
            <w:tcBorders/>
            <w:shd w:fill="FFFFFF" w:val="clear"/>
            <w:tcMar>
              <w:bottom w:w="0" w:type="dxa"/>
            </w:tcMar>
            <w:vAlign w:val="center"/>
          </w:tcPr>
          <w:p>
            <w:pPr>
              <w:pStyle w:val="TableContents"/>
              <w:bidi w:val="0"/>
              <w:spacing w:before="0" w:after="283"/>
              <w:jc w:val="both"/>
              <w:rPr/>
            </w:pPr>
            <w:r>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7745" w:type="dxa"/>
            <w:tcBorders/>
            <w:shd w:fill="FFFFFF" w:val="clear"/>
            <w:tcMar>
              <w:bottom w:w="0" w:type="dxa"/>
            </w:tcMar>
            <w:vAlign w:val="center"/>
          </w:tcPr>
          <w:p>
            <w:pPr>
              <w:pStyle w:val="TableContents"/>
              <w:bidi w:val="0"/>
              <w:spacing w:before="0" w:after="283"/>
              <w:jc w:val="both"/>
              <w:rPr/>
            </w:pPr>
            <w:r>
              <w:rPr/>
              <w:t>Cover Page Interactive Data File (embedded within the Inline XBRL document).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and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320"/>
        <w:gridCol w:w="3095"/>
      </w:tblGrid>
      <w:tr>
        <w:trPr/>
        <w:tc>
          <w:tcPr>
            <w:tcW w:w="75" w:type="dxa"/>
            <w:tcBorders/>
            <w:vAlign w:val="center"/>
          </w:tcPr>
          <w:p>
            <w:pPr>
              <w:pStyle w:val="TableContents"/>
              <w:bidi w:val="0"/>
              <w:spacing w:before="0" w:after="283"/>
              <w:jc w:val="both"/>
              <w:rPr/>
            </w:pPr>
            <w:r>
              <w:rPr/>
              <w:t> </w:t>
            </w:r>
          </w:p>
        </w:tc>
        <w:tc>
          <w:tcPr>
            <w:tcW w:w="341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Bluejay Diagnostics Inc.</w:t>
            </w:r>
          </w:p>
        </w:tc>
      </w:tr>
      <w:tr>
        <w:trPr/>
        <w:tc>
          <w:tcPr>
            <w:tcW w:w="75" w:type="dxa"/>
            <w:tcBorders/>
            <w:vAlign w:val="center"/>
          </w:tcPr>
          <w:p>
            <w:pPr>
              <w:pStyle w:val="TableContents"/>
              <w:bidi w:val="0"/>
              <w:spacing w:before="0" w:after="283"/>
              <w:jc w:val="both"/>
              <w:rPr/>
            </w:pPr>
            <w:r>
              <w:rPr/>
              <w:t> </w:t>
            </w:r>
          </w:p>
        </w:tc>
        <w:tc>
          <w:tcPr>
            <w:tcW w:w="341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309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 Neil Dey</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Neil Dey</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4" w:name="ea029420901ex10-1.htm"/>
      <w:bookmarkStart w:id="25" w:name="ksea029420901ex101"/>
      <w:bookmarkEnd w:id="24"/>
      <w:bookmarkEnd w:id="25"/>
      <w:r>
        <w:rPr>
          <w:b/>
        </w:rPr>
        <w:t>Exhibit 10.1</w:t>
      </w:r>
      <w:r>
        <w:br w:type="page"/>
      </w:r>
    </w:p>
    <w:p>
      <w:pPr>
        <w:pStyle w:val="TextBody"/>
        <w:bidi w:val="0"/>
        <w:jc w:val="righ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BLUEJAY DIAGNOSTICS, INC.</w:t>
        <w:br/>
        <w:br/>
        <w:t>2021 STOCK PLAN,</w:t>
        <w:br/>
        <w:t>AS AMENDED BY AMENDMENT NO.1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 Establishment and Purpose.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Board of Directors (the “Board”) of Bluejay Diagnostics, Inc. (the “Company”) established the Bluejay Diagnostics, Inc. 2021 Stock Plan (the “Plan”), effective as of July 6, 2021. Amendment No. 1 thereto was approved by the Board on April 28, 2026, and approved by the Company’s stockholders on June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purpose of the Plan is to attract and retain outstanding individuals as Key Employees, Directors and Consultants of the Company and its Subsidiaries, to recognize the contributions made to the Company and its Subsidiaries by Key Employees, Directors and Consultants, and to provide such Key Employees, Directors and Consultants with additional incentive to expand and improve the profits and achieve the objectives of the Company and its Subsidiaries, by providing such Key Employees, Directors and Consultants with the opportunity to acquire or increase their proprietary interest in the Company through receipt of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2.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the Plan, the following terms shall have the meanings set forth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means any award or benefit granted under the Plan, which shall be a Stock Option, a Stock Award, a Stock Unit Award or an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Award Agreement</w:t>
      </w:r>
      <w:r>
        <w:rPr>
          <w:rFonts w:ascii="Times New Roman;Times;Serif" w:hAnsi="Times New Roman;Times;Serif"/>
          <w:b w:val="false"/>
          <w:i w:val="false"/>
          <w:caps w:val="false"/>
          <w:smallCaps w:val="false"/>
          <w:sz w:val="20"/>
        </w:rPr>
        <w:t>” means, as applicable, a Stock Option Agreement, Stock Award Agreement, Stock Unit Award Agreement or SAR Agreement evidencing an Award granted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has the meaning set forth in Section 8.2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Committee</w:t>
      </w:r>
      <w:r>
        <w:rPr>
          <w:rFonts w:ascii="Times New Roman;Times;Serif" w:hAnsi="Times New Roman;Times;Serif"/>
          <w:b w:val="false"/>
          <w:i w:val="false"/>
          <w:caps w:val="false"/>
          <w:smallCaps w:val="false"/>
          <w:sz w:val="20"/>
        </w:rPr>
        <w:t>” means the Compensation Committee of the Board or such other committee as may be designated by the Board from time to time to administer the Plan, or, if no such committee has been designated at the time of any grants, it shall mean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par value $0.0001 per share,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Bluejay Diagnostics, Inc.,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Consultant</w:t>
      </w:r>
      <w:r>
        <w:rPr>
          <w:rFonts w:ascii="Times New Roman;Times;Serif" w:hAnsi="Times New Roman;Times;Serif"/>
          <w:b w:val="false"/>
          <w:i w:val="false"/>
          <w:caps w:val="false"/>
          <w:smallCaps w:val="false"/>
          <w:sz w:val="20"/>
        </w:rPr>
        <w:t>” means any person, including an advisor, who is engaged by the Company or an affiliate to render consulting or advisory services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 “</w:t>
      </w:r>
      <w:r>
        <w:rPr>
          <w:rFonts w:ascii="Times New Roman;Times;Serif" w:hAnsi="Times New Roman;Times;Serif"/>
          <w:b w:val="false"/>
          <w:i w:val="false"/>
          <w:caps w:val="false"/>
          <w:smallCaps w:val="false"/>
          <w:sz w:val="20"/>
          <w:u w:val="single"/>
        </w:rPr>
        <w:t>Director</w:t>
      </w:r>
      <w:r>
        <w:rPr>
          <w:rFonts w:ascii="Times New Roman;Times;Serif" w:hAnsi="Times New Roman;Times;Serif"/>
          <w:b w:val="false"/>
          <w:i w:val="false"/>
          <w:caps w:val="false"/>
          <w:smallCaps w:val="false"/>
          <w:sz w:val="20"/>
        </w:rPr>
        <w:t>” means a director of the Company who is not an employee of the Company or a Subsidiary.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Fair Market Value</w:t>
      </w:r>
      <w:r>
        <w:rPr>
          <w:rFonts w:ascii="Times New Roman;Times;Serif" w:hAnsi="Times New Roman;Times;Serif"/>
          <w:b w:val="false"/>
          <w:i w:val="false"/>
          <w:caps w:val="false"/>
          <w:smallCaps w:val="false"/>
          <w:sz w:val="20"/>
        </w:rPr>
        <w:t>” means as of any date, the closing price of a share of Common Stock on the national securities exchange on which the Common Stock is listed, or, if the Common Stock is not listed on a national securities exchange, the over-the-counter market on which the Common Stock trades, or, if the Common Stock is not listed on a national securities exchange or an over-the-counter market, as determined by the Board as of such date, or, if no trading occurred on such date, as of the trading day immediately preceding such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Incentive Stock Option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ISO</w:t>
      </w:r>
      <w:r>
        <w:rPr>
          <w:rFonts w:ascii="Times New Roman;Times;Serif" w:hAnsi="Times New Roman;Times;Serif"/>
          <w:b w:val="false"/>
          <w:i w:val="false"/>
          <w:caps w:val="false"/>
          <w:smallCaps w:val="false"/>
          <w:sz w:val="20"/>
        </w:rPr>
        <w:t>” means a Stock Option granted under Section 5 of the Plan that meets the requirements of Section 422(b) of the Code or any successor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Key Employee</w:t>
      </w:r>
      <w:r>
        <w:rPr>
          <w:rFonts w:ascii="Times New Roman;Times;Serif" w:hAnsi="Times New Roman;Times;Serif"/>
          <w:b w:val="false"/>
          <w:i w:val="false"/>
          <w:caps w:val="false"/>
          <w:smallCaps w:val="false"/>
          <w:sz w:val="20"/>
        </w:rPr>
        <w:t>” means an employee of the Company or any Subsidiary selected to participate in the Plan in accordance with Section 3. A Key Employee may also include a person who is granted an Award (other than an Incentive Stock Option) in connection with the hiring of the person prior to the date the person becomes an employee of the Company or any Subsidiary, provided that such Award shall not vest prior to the commencement of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Non-Qualified Stock Option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NSO</w:t>
      </w:r>
      <w:r>
        <w:rPr>
          <w:rFonts w:ascii="Times New Roman;Times;Serif" w:hAnsi="Times New Roman;Times;Serif"/>
          <w:b w:val="false"/>
          <w:i w:val="false"/>
          <w:caps w:val="false"/>
          <w:smallCaps w:val="false"/>
          <w:sz w:val="20"/>
        </w:rPr>
        <w:t>” means a Stock Option granted under Section 5 of the Plan that is not an Incentive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means a Key Employee, Director or Consultant selected to receive an Award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the Bluejay Diagnostics, Inc. 2021 Stock Plan,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2.18 “</w:t>
      </w:r>
      <w:r>
        <w:rPr>
          <w:rFonts w:ascii="Times New Roman;Times;Serif" w:hAnsi="Times New Roman;Times;Serif"/>
          <w:b w:val="false"/>
          <w:i w:val="false"/>
          <w:caps w:val="false"/>
          <w:smallCaps w:val="false"/>
          <w:sz w:val="20"/>
          <w:u w:val="single"/>
        </w:rPr>
        <w:t>Stock Appreciation Right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SAR</w:t>
      </w:r>
      <w:r>
        <w:rPr>
          <w:rFonts w:ascii="Times New Roman;Times;Serif" w:hAnsi="Times New Roman;Times;Serif"/>
          <w:b w:val="false"/>
          <w:i w:val="false"/>
          <w:caps w:val="false"/>
          <w:smallCaps w:val="false"/>
          <w:sz w:val="20"/>
        </w:rPr>
        <w:t>” means a grant of a right to receive shares of Common Stock or cash under Section 8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 “</w:t>
      </w:r>
      <w:r>
        <w:rPr>
          <w:rFonts w:ascii="Times New Roman;Times;Serif" w:hAnsi="Times New Roman;Times;Serif"/>
          <w:b w:val="false"/>
          <w:i w:val="false"/>
          <w:caps w:val="false"/>
          <w:smallCaps w:val="false"/>
          <w:sz w:val="20"/>
          <w:u w:val="single"/>
        </w:rPr>
        <w:t>Stock Award</w:t>
      </w:r>
      <w:r>
        <w:rPr>
          <w:rFonts w:ascii="Times New Roman;Times;Serif" w:hAnsi="Times New Roman;Times;Serif"/>
          <w:b w:val="false"/>
          <w:i w:val="false"/>
          <w:caps w:val="false"/>
          <w:smallCaps w:val="false"/>
          <w:sz w:val="20"/>
        </w:rPr>
        <w:t>” means a grant of shares of Common Stock under Section 6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 “</w:t>
      </w:r>
      <w:r>
        <w:rPr>
          <w:rFonts w:ascii="Times New Roman;Times;Serif" w:hAnsi="Times New Roman;Times;Serif"/>
          <w:b w:val="false"/>
          <w:i w:val="false"/>
          <w:caps w:val="false"/>
          <w:smallCaps w:val="false"/>
          <w:sz w:val="20"/>
          <w:u w:val="single"/>
        </w:rPr>
        <w:t>Stock Option</w:t>
      </w:r>
      <w:r>
        <w:rPr>
          <w:rFonts w:ascii="Times New Roman;Times;Serif" w:hAnsi="Times New Roman;Times;Serif"/>
          <w:b w:val="false"/>
          <w:i w:val="false"/>
          <w:caps w:val="false"/>
          <w:smallCaps w:val="false"/>
          <w:sz w:val="20"/>
        </w:rPr>
        <w:t>” means an Incentive Stock Option or a Non-Qualified Stock Option granted under Section 5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Stock Unit Award</w:t>
      </w:r>
      <w:r>
        <w:rPr>
          <w:rFonts w:ascii="Times New Roman;Times;Serif" w:hAnsi="Times New Roman;Times;Serif"/>
          <w:b w:val="false"/>
          <w:i w:val="false"/>
          <w:caps w:val="false"/>
          <w:smallCaps w:val="false"/>
          <w:sz w:val="20"/>
        </w:rPr>
        <w:t>” means a grant of a right to receive shares of Common Stock or cash under Section 7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 entity of which the Company is the direct or indirect beneficial owner of not less than 50% of all issued and outstanding equity interest of such entity.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The Board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shall be administered by the Committee, which shall be comprised of at least two members of the Board who satisfy the “non-employee director” definition set forth in Rule 16b-3 under the Exchange Act, unless the Board otherwise determines.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Authority of the Committee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Committee, in its sole discretion, shall determine the Key Employees and Directors to whom, and the time or times at which Awards will be granted, the form and amount of each Award, the expiration date of each Award, the time or times within which the Awards may be exercised, the cancellation of the Awards and the other limitations, restrictions, terms and conditions applicable to the grant of the Awards. The terms and conditions of the Awards need not be the same with respect to each Participant or with respect to each Award.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permitted by applicable law, regulation, and rules of a stock exchange on which the Common Stock is listed or traded, the Committee may delegate its authority to grant Awards to Key Employees and to determine the terms and conditions thereof to such officer of the Company as it may determine in its discretion, on such terms and conditions as it may impose, except with respect to Awards to officers subject to Section 16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Committee may, subject to the provisions of the Plan, establish such rules and regulations as it deems necessary or advisable for the proper administration of the Plan, and may make determinations and may take such other action in connection with or in relation to the Plan as it deems necessary or advisable. Each determination or other action made or taken pursuant to the Plan, including interpretation of the Plan and the specific terms and conditions of the Awards granted hereunder, shall be final and conclusive for all purposes and upon all persons.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member of the Board or the Committee shall be liable for any action taken or determination made hereunder in good faith. Service on the Committee shall constitute service as a Director so that the members of the Committee shall be entitled to indemnification and reimbursement as Directors of the Company pursuant to the Company’s Certificate of Incorporation and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 </w:t>
      </w:r>
      <w:r>
        <w:rPr>
          <w:rFonts w:ascii="Times New Roman;Times;Serif" w:hAnsi="Times New Roman;Times;Serif"/>
          <w:b w:val="false"/>
          <w:i w:val="false"/>
          <w:caps w:val="false"/>
          <w:smallCaps w:val="false"/>
          <w:sz w:val="20"/>
          <w:u w:val="single"/>
        </w:rPr>
        <w:t>Award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Award shall be evidenced by a written Award Agreement specifying the terms and conditions of the Award. In the sole discretion of the Committee, the Award Agreement may condition the grant of an Award upon the Participant’s entering into one or more of the following agreements with the Company: (i) an agreement not to compete with the Company and its Subsidiaries which shall become effective as of the date of the grant of the Award and remain in effect for a specified period of time following termination of the Participant’s employment with the Company; (ii) an agreement to cancel any employment agreement, fringe benefit or compensation arrangement in effect between the Company and the Participant; and (iii) an agreement to retain the confidentiality of certain information. Such agreements may contain such other terms and conditions as the Committee shall determine. If the Participant shall fail to enter into any such agreement at the request of the Committee, then the Award granted or to be granted to such Participant shall be forfeited and cancelled.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4. Shares of Common Stock Subject to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Total Number of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total number of shares of Common Stock that may be issued under the Plan shall be 600,061. Such shares may be either authorized but unissued shares or treasury shares, and shall be adjusted in accordance with the provisions of Section 4.3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number of shares of Common Stock delivered by a Participant or withheld by the Company on behalf of any such Participant as full or partial payment of an Award, including the exercise price of a Stock Option or of any required withholding taxes, shall not again be available for issuance pursuant to subsequent Awards, and shall count towards the aggregate number of shares of Common Stock that may be issued under the Plan. Any shares of Common Stock purchased by the Company with proceeds from a Stock Option exercise shall not again be available for issuance pursuant to subsequent Awards, shall count against the aggregate number of shares that may be issued under the Plan and shall not increase the number of shares available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there is a lapse, forfeiture, expiration, termination or cancellation of any Award for any reason (including for reasons described in Section 3.3), or if shares of Common Stock are issued under such Award and thereafter are reacquired by the Company pursuant to rights reserved by the Company upon issuance thereof, the shares of Common Stock subject to such Award or reacquired by the Company shall again be available for issuance pursuant to subsequent Awards, and shall not count towards the aggregate number of shares of Common Stock that may be issued under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Shares Under Awards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the shares of Common Stock authorized for issuance under the Plan pursuant to Section 4.1: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maximum number of shares of Common Stock as to which a Key Employee may receive Stock Options or SARs in any calendar year is 250,000, except that the maximum number of shares of Common Stock as to which a Key Employee may receive Stock Options or SARs in the calendar year in which such Key Employee begins employment with the Company or its Subsidiaries is 250,000.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maximum number of shares of Common Stock that may be subject to Stock Options (ISOs and/or NSOs) is 600,061.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maximum number of shares of Common Stock that may be used for Stock Awards and/or Stock Unit Awards that may be granted to any Key Employee in any calendar year is 250,000, or, in the event the Award is settled in cash, an amount equal to the Fair Market Value of such number of shares on the date on which the Award is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maximum number of shares of Common Stock subject to Awards granted under the Plan or otherwise during any one calendar year to any Director, taken together with any cash fees paid by the Company to such Director during such calendar year for service on the Board, will not exceed $300,000 in total value (calculating the value of any such Awards based on the grant date fair value of such Awards for financial reporting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numbers of shares described herein shall be as adjusted in accordance with Section 4.3 of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Adjustment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reorganization, recapitalization, stock split, stock distribution, merger, consolidation, split-up, spin-off, combination, subdivision, consolidation or exchange of shares, any change in the capital structure of the Company or any similar corporate transaction, the Committee shall make such adjustments as it deems appropriate, in its sole discretion, to preserve the benefits or intended benefits of the Plan and Awards granted under the Plan. Such adjustments may include: (a) adjustment in the number and kind of shares reserved for issuance under the Plan; (b) adjustment in the number and kind of shares covered by outstanding Awards; (c) adjustment in the exercise price of outstanding Stock Options or SARs or the price of Stock Awards or Stock Unit Awards under the Plan; (d) adjustments to any of the shares limitations set forth in Section 4.1 or 4.2 of the Plan; and (e) any other changes that the Committee determines to be equitable under the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5. Grants of 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Plan, the Committee may from time to time grant Stock Options to Participants. Unless otherwise expressly provided at the time of the grant, Stock Options granted under the Plan to Key Employees will be NSOs. Stock Options granted under the Plan to Directors who are not employees of the Company or any Subsidiary will be NSOs.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Stock Option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of each Stock Option shall be evidenced by a written Stock Option Agreement specifying the type of Stock Option granted, the exercise period, the exercise price, the terms for payment of the exercise price, the expiration date of the Stock Option, the number of shares of Common Stock to be subject to each Stock Option and such other terms and conditions established by the Committee, in its sole discretion, not inconsistent with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Exercise Price and Exercise Period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Stock Option granted to a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 share exercise price of each Stock Option shall be the Fair Market Value of the Common Stock subject to the Stock Option on the date on which the Stock Option is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Stock Option shall become exercisable as provided in the Stock Option Agreement; provided that the Committee shall have the discretion to accelerate the date as of which any Stock Option shall become exercisable in the event of the Participant’s termination of employment with the Company, or service on the Board, without cause (as determined by the Board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dividends or dividend equivalents shall be paid with respect to any shares subject to a Stock Option prior to the exercise of the Stock Option.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Stock Option shall expire, and all rights to purchase shares of Common Stock thereunder shall expire, on the date ten years after the date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Required Terms and Conditions of ISOs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foregoing, each ISO granted to a Key Employee shall be subject to the following specific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aggregate Fair Market Value (determined with respect to each ISO at the time such Option is granted) of the shares of Common Stock with respect to which ISOs are exercisable for the first time by a Key Employee during any calendar year (under all incentive stock option plans of the Company and its Subsidiaries) shall not exceed $100,000. If the aggregate Fair Market Value (determined at the time of grant) of the Common Stock subject to an ISO which first becomes exercisable in any calendar year exceeds the limitation of this Section 5.4(a), so much of the ISO that does not exceed the applicable dollar limit shall be an ISO and the remainder shall be a NSO; but in all other respects, the original Stock Option Agreement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herein to the contrary, if an ISO is granted to a Key Employee who owns stock possessing more than 10% of the total combined voting power of all classes of stock of the Company (or its parent or subsidiaries within the meaning of Section 422(b)(6) of the Code): (i) the purchase price of each share of Common Stock subject to the ISO shall be not less than 110% of the Fair Market Value of the Common Stock on the date the ISO is granted; and (ii) the ISO shall expire, and all rights to purchase shares of Common Stock thereunder shall expire, no later than the fifth anniversary of the date the ISO was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ISOs shall be granted under the Plan after ten years from the earlier of the date the Plan is adopted or approved by shareholders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Exercise of Stock Options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Participant entitled to exercise a Stock Option may do so by delivering written notice to that effect specifying the number of shares of Common Stock with respect to which the Stock Option is being exercised and any other information the Committee may prescribe. All notices or requests provided for herein shall be delivered to the Chief Financial Officer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Committee in its sole discretion may make available one or more of the following alternatives for the payment of the Stock Option exercise price: (i) in cash; (ii) in cash received from a broker-dealer to whom the Participant has submitted an exercise notice together with irrevocable instructions to deliver promptly to the Company the amount of sales proceeds from the sale of the shares subject to the Stock Option to pay the exercise price; (iii) by directing the Company to withhold such number of shares of Common Stock otherwise issuable in connection with the exercise of the Stock Option having an aggregate Fair Market Value equal to the exercise price; (iv) by delivering previously acquired shares of Common Stock that are acceptable to the Committee and that have an aggregate Fair Market Value on the date of exercise equal to the Stock Option exercise price; or (v) by certifying to ownership by attestation of such previously acquired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sole discretion to establish the terms and conditions applicable to any alternative made available for payment of the Stock Option exercise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6.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in its discretion, (a) grant shares of Common Stock under the Plan to any Participant without consideration from such Participant or (b) sell shares of Common Stock under the Plan to any Participant for such amount of cash, Common Stock or other consideration as the Committee deems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Stock Award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granted or sold hereunder shall be subject to such restrictions, conditions and other terms as the Board may determine at the time of grant or sale, the general provisions of the Plan, the restrictions, terms and conditions of the related Stock Award Agreement, and the following specific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Award Agreement shall specify whether the shares of Common Stock are granted or sold to the Participant and such other provisions, not inconsistent with the terms and conditions of the Plan, as the Committee shall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restrictions to which the shares of Common Stock awarded hereunder are subject shall lapse as provided in Stock Award Agreement; provided that the Committee shall have the discretion to accelerate the date as of which the restrictions lapse with respect to any Award held by a Participant in the event of the Participant’s termination of employment with the Company, or service on the Board, without cause (as determined by the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in this subsection (c) and unless otherwise set forth in the related Stock Award Agreement, the Participant receiving a grant of or purchasing Common Stock shall thereupon be a stockholder with respect to such shares and shall have the rights of a stockholder with respect to such shares, including the right to vote such shares and to receive dividends and other distributions paid with respect to such shares; provided that any dividends or other distributions payable with respect to the Stock Award shall be accumulated and held by the Company and paid to the Participant only upon, and to the extent, the restrictions lapse in accordance with the terms of the applicable Stock Award Agreement. Any such dividends or other distributions held by the Company attributable to the portion of a Stock Award that is forfeited shall also be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7. Stock Unit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in its discretion, grant Stock Unit Awards to any Participant. Each Stock Unit subject to the Award shall entitle the Participant to receive, on the date or the occurrence of an event (including the attainment of performance goals) as described in the Stock Unit Award Agreement, a share of Common Stock or cash equal to the Fair Market Value of a share of Common Stock on the date of such event as provided in the Stock Unit Award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Stock Unit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 Unit Award shall be subject to such restrictions, conditions and other terms as the Committee may determine at the time of grant, the general provisions of the Plan, the restrictions, terms and conditions of the related Stock Unit Award Agreement and the following specific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 Unit Agreement shall specify such provisions, not inconsistent with the terms and conditions of the Plan, as the Committee shall determine.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restrictions to which the shares of Stock Units awarded hereunder are subject shall lapse as provided in Stock Unit Agreement; provided that the Committee shall have the discretion to accelerate the date as of which the restrictions lapse with respect to any Award held by a Participant in the event of the Participant’s termination of employment with the Company, or service on the Board, without cause (as determined by the Board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Except as provided in this subsection (c) and unless otherwise set forth in the Stock Unit Agreement, the Participant receiving a Stock Unit Award shall have no rights of a stockholder, including voting or dividends or other distributions rights, with respect to any Stock Units prior to the date they are settled in shares of Common Stock; provided that a Stock Unit Award Agreement may provide that until the Stock Units are settled in shares or cash, the Participant shall be entitled to receive on each dividend or distribution payment date applicable to the Common Stock an amount equal to the dividends or other distributions that the Participant would have received had the Stock Units held by the Participant as of the related record date been actual shares of Common Stock. Such amounts shall be accumulated and held by the Company and paid to the Participant only upon, and to the extent, the restrictions lapse in accordance with the terms of the applicable Stock Unit Award Agreement. Such amounts held by the Company attributable to the portion of the Stock Unit Award that is forfeited shall also be forfeited.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8. SARs.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Grant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grant SARs to Participants. Upon exercise, an SAR entitles the Participant to receive from the Company the number of shares of Common Stock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 Cash shall be delivered in lieu of any fractional shares. The terms and conditions of any such Award shall be determined at the time of grant.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SAR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SAR shall be evidenced by a written SAR Agreement specifying the terms and conditions of the SAR as the Committee may determine, including the SAR exercise price, expiration date of the SAR, the number of shares of Common Stock to which the SAR pertains, the form of settlement and such other terms and conditions established by the Committee, in its sole discretion, not inconsistent with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 Share exercise price of each SAR shall not be less than 100% of the Fair Market Value of a Share on the date the SAR is granted.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SAR shall expire and all rights thereunder shall cease on the date fixed by the Committee in the related SAR Agreement, which shall not be later than the ten years after the date of grant; provided however, if a Participant is unable to exercise an SAR because trading in the Common Stock is prohibited by law or the Company’s insider-trading policy, the SAR exercise date shall be extended to the date that is 30 days after the expiration of the trading prohibition.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SAR shall become exercisable as provided in the related SAR Agreement; provided that notwithstanding any other Plan provision, the Committee shall have the discretion to accelerate the date as of which any SAR shall become exercisable in the event of the Participant’s termination of employment, or service on the Board, without cause (as determined by the Committee in its sole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 dividends or dividend equivalents shall be paid with respect to any SAR prior to the exercise of the SAR.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person entitled to exercise an SAR may do so by delivery of a written notice in accordance with procedures established by the Committee specifying the number of shares of Common Stock with respect to which the SAR is being exercised and any other information the Committee may prescribe. As soon as reasonably practicable after the exercise of an SAR, the Company shall (i) issue the total number of full shares of Common Stock to which the Participant is entitled and cash in an amount equal to the Fair Market Value, as of the date of exercise, of any resulting fractional share, and (ii) if the Committee causes the Company to elect to settle all or part of its obligations arising out of the exercise of the SAR in cash, deliver to the Participant an amount in cash equal to the Fair Market Value, as of the date of exercise, of the shares it would otherwise be obligated to deliver.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 Change in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Effect of a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 of the provisions of the Plan or any outstanding Award Agreement, upon a Change in Control of the Company (as defined in Section 9.2), the Board is authorized and has sole discretion to provide that (i) all outstanding Awards shall become fully exercisable, (ii) all restrictions applicable to all Awards shall terminate or lapse and (iii) performance goals applicable to any Awards shall be deemed satisfied at the highest level, as applicable, in order that Participants may realize the benefits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to the Board’s authority set forth in Section 3, upon such Change in Control of the Company, the Board is authorized and has sole discretion as to any Award, either at the time such Award is granted hereunder or any time thereafter, to take any one or more of the following actions: (i) provide for the purchase of any outstanding Stock Option, for an amount of cash equal to the difference between the exercise price and the then Fair Market Value of the Common Stock covered thereby had such Stock Option been currently exercisable; (ii) make such adjustment to any such Award then outstanding as the Board deems appropriate to reflect such Change in Control; and (iii) cause any such Award then outstanding to be assumed by the acquiring or surviving corporation after such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Definition of Change in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 in Control” of the Company shall be deemed to have occurred if at any time during the term of an Award granted under the Plan any of the following events occurs: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Person (other than the Company, a trustee or other fiduciary holding securities under an employee benefit plan of the Company, or a corporation owned directly or indirectly by the shareholders of the Company in substantially the same proportions as their ownership of shares of Common Stock of the Company) is or becomes the Beneficial Owner, directly or indirectly, of securities of the Company representing 30% or more of the combined voting power of the Company’s then outstanding securities entitled to vote generally in the election of directors (“Person” and “Beneficial Owner” being defined in Rule 13d-3 of the General Rules and Regulations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is party to a merger, consolidation, reorganization or other similar transaction with another corporation or other Person unless, following such transaction, more than 50% of the combined voting power of the outstanding securities of the surviving, resulting or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transaction, in substantially the same proportions as their ownership, immediately prior to such transaction, of the Company’s outstanding securities entitled to vote generally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election to the Board, without the recommendation or approval of two-thirds of the incumbent Board, of the lesser of: (i) three Directors; or (ii) Directors constituting a majority of the number of Directors of the Company then in office; provided, however, that Directors whose initial assumption of office is in connection with an actual or threatened election contest, including but not limited to a consent solicitation, relating to the election of Directors of the Company will not be considered as incumbent members of the Board for purposes of this Section;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there is a complete liquidation or dissolution of the Company, or the Company sells all or substantially all of its business and/or assets to another corporation or other Person unless, following such sale, more than 50% of the combined voting power of the outstanding securities of the acquiring corporation or Person or its parent entity entitled to vote generally in the election of directors (or Persons performing similar functions) is then beneficially owned, directly or indirectly, by all or substantially all of the individuals and entities who were the beneficial owners of the Company’s outstanding securities entitled to vote generally in the election of directors immediately prior to such sale, in substantially the same proportions as their ownership, immediately prior to such sale, of the Company’s outstanding securities entitled to vote generally in the election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however, shall a Change in Control be deemed to have occurred, with respect to a Participant, if that Participant is part of a purchasing group which consummates the Change in Control transaction. A Participant shall be deemed “part of a purchasing group” for purposes of the preceding sentence if the Participant is an equity participant or has agreed to become an equity participant in the purchasing company or group (except for (a) passive ownership of less than 3% of the shares of the purchasing company; or (b) ownership of equity participation in the purchasing company or group which is otherwise not deemed to be significant, as determined prior to the Change in Control by a majority of the disinterested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 Payment of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any Award, and as a condition to the issuance or delivery of any shares of Common Stock to the Participant in connection therewith, the Company shall require the Participant to pay the Company the minimum amount of federal, state, local or foreign taxes required to be withheld, and in the Company’s sole discretion, the Company may permit the Participant to pay the Company up to the maximum individual statutory rate of applicable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in its sole discretion may make available one or more of the following alternatives for the payment of such taxes: (i) in cash; (ii) in cash received from a broker-dealer to whom the Participant has submitted notice together with irrevocable instructions to deliver promptly to the Company the amount of sales proceeds from the sale of the shares subject to the Award to pay the withholding taxes; (iii) by directing the Company to withhold such number of shares of Common Stock otherwise issuable in connection with the Award having an aggregate Fair Market Value equal to the minimum amount of tax required to be withheld; (iv) by delivering previously acquired shares of Common Stock of the Company that are acceptable to the Board that have an aggregate Fair Market Value equal to the amount required to be withheld; or (v) by certifying to ownership by attestation of such previously acquired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sole discretion to establish the terms and conditions applicable to any alternative made available for payment of the required withholding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11. Postponement.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may postpone any grant or settlement of an Award or exercise of a Stock Option or SAR for such time as the Board in its sole discretion may deem necessary in order to permit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effect, amend or maintain any necessary registration of the Plan or the shares of Common Stock issuable pursuant to an Award, including upon the exercise of a Stock Option or SAR, under the Securities Act of 1933, as amended, or the securities laws of any applicable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permit any action to be taken in order to (i) list such shares of Common Stock on a stock exchange if shares of Common Stock are then listed on such exchange or (ii) comply with restrictions or regulations incident to the maintenance of a public market for its shares of Common Stock, including any rules or regulations of any stock exchange on which the shares of Common Stock are listed; 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determine that such shares of Common Stock and the Plan are exempt from such registration or that no action of the kind referred to in (b)(ii) above needs to be taken; and the Company shall not be obligated by virtue of any terms and conditions of any Award or any provision of the Plan to sell or issue shares of Common Stock in violation of the Securities Act of 1933 or the law of any government having jurisdiction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such postponement shall not extend the term of an Award and neither the Company nor its Directors or officers shall have any obligation or liability to a Participant, the Participant’s successor or any other person with respect to any shares of Common Stock as to which the Award shall lapse because of such postponement.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12. Nontransferability.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granted under the Plan, and any rights and privileges pertaining thereto, may not be transferred, assigned, pledged or hypothecated in any manner, or be subject to execution, attachment or similar process, by operation of law or otherwise, other than by will or by the laws of descent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 Delivery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Common Stock issued pursuant to a Stock Award, the exercise of a Stock or SAR or the settlement of a Stock Unit Award shall be represented by stock certificates or on a non-certificated basis, with the ownership of such shares by the Participant evidenced solely by book entry in the records of the Company’s transfer agent; provided, however, that upon the written request of the Participant, the Company shall issue, in the name of the Participant, stock certificates representing such shares of Common Stock.  Notwithstanding the foregoing, shares granted pursuant to a Stock Award shall be held by the Secretary of the Company until such time as the shares are forfeited or settled.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14. Termination or Amendment of Plan and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14.1 </w:t>
      </w:r>
      <w:r>
        <w:rPr>
          <w:rFonts w:ascii="Times New Roman;Times;Serif" w:hAnsi="Times New Roman;Times;Serif"/>
          <w:b w:val="false"/>
          <w:i w:val="false"/>
          <w:caps w:val="false"/>
          <w:smallCaps w:val="false"/>
          <w:sz w:val="20"/>
          <w:u w:val="single"/>
        </w:rPr>
        <w:t>Termination or Amendment of 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Except as described in Section 14.3 below, the Board may terminate, suspend, or amend the Plan, in whole or in part, from time to time, without the approval of the stockholders of the Company, unless such approval is required by applicable law, regulation or rule of any stock exchange on which the shares of Common Stock are listed. No amendment or termination of the Plan shall adversely affect the right of any Participant under any outstanding Award in any material way without the written consent of the Participant, unless such amendment or termination is required by applicable law, regulation or rule of any stock exchange on which the shares of Common Stock are listed. Subject to the foregoing, the Committee may correct any defect or supply an omission or reconcile any inconsistency in the Plan or in any Award granted hereunder in the manner and to the extent it shall deem desirable, in its sole discretion, to effectuate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Board shall have the authority to amend the Plan to the extent necessary or appropriate to comply with applicable law, regulation or accounting rules in order to permit Participants who are located outside of the United States to participate in the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14.2 </w:t>
      </w:r>
      <w:r>
        <w:rPr>
          <w:rFonts w:ascii="Times New Roman;Times;Serif" w:hAnsi="Times New Roman;Times;Serif"/>
          <w:b w:val="false"/>
          <w:i w:val="false"/>
          <w:caps w:val="false"/>
          <w:smallCaps w:val="false"/>
          <w:sz w:val="20"/>
          <w:u w:val="single"/>
        </w:rPr>
        <w:t>Amendment of Award Agreements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Committee shall have the authority to amend any Award Agreement at any time; provided however, that no such amendment shall adversely affect the right of any Participant under any outstanding Award Agreement in any material way without the written consent of the Participant, unless such amendment is required by applicable law, regulation or rule of any stock exchange on which the shares of Common Stock are listed.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14.3 </w:t>
      </w:r>
      <w:r>
        <w:rPr>
          <w:rFonts w:ascii="Times New Roman;Times;Serif" w:hAnsi="Times New Roman;Times;Serif"/>
          <w:b w:val="false"/>
          <w:i w:val="false"/>
          <w:caps w:val="false"/>
          <w:smallCaps w:val="false"/>
          <w:sz w:val="20"/>
          <w:u w:val="single"/>
        </w:rPr>
        <w:t>No Repricing of Stock Options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except as described in Section 4.3, there shall be no amendment to the Plan or any outstanding Stock Option Agreement or SAR Agreement that results in the repricing of Stock Options or SARs without stockholder approval. For this purpose, repricing includes (i) a reduction in the exercise price of the Stock Option or SARs or (ii) the cancellation of a Stock Option in exchange for cash, Stock Options or SARs with an exercise price less than the exercise price of the cancelled Options or SARs, other Awards or any other consideration provided by the Company, but does not include any adjustment described in Section 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15. No Contract of Employment.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adoption of the Plan nor the grant of any Award under the Plan shall be deemed to obligate the Company or any Subsidiary to continue the employment of any Participant for any particular period, nor shall the granting of an Award constitute a request or consent to postpone the retirement date of any Participant.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16.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questions pertaining to the validity, construction and administration of the Plan and all Awards granted under the Plan shall be determined in conformity with the laws of the Commonwealth of Massachusetts, without regard to the conflict of law provisions of any state, and, in the case of Incentive Stock Options, Section 422 of the Code and regulations issued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17. Effective Date and Term of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17.1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became effective as of July 6, 2021 (and was subsequently amended as of June 9,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 </w:t>
      </w:r>
      <w:r>
        <w:rPr>
          <w:rFonts w:ascii="Times New Roman;Times;Serif" w:hAnsi="Times New Roman;Times;Serif"/>
          <w:b w:val="false"/>
          <w:i w:val="false"/>
          <w:caps w:val="false"/>
          <w:smallCaps w:val="false"/>
          <w:sz w:val="20"/>
          <w:u w:val="single"/>
        </w:rPr>
        <w:t>Term of Plan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contained herein, no Awards shall be granted on or after July 6,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7712</Words>
  <Characters>38553</Characters>
  <CharactersWithSpaces>46298</CharactersWithSpaces>
  <Paragraphs>561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