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320040</wp:posOffset>
            </wp:positionV>
            <wp:extent cx="2151380" cy="6343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51380" cy="6343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BLUEJAY DIAGNOSTICS,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16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428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001-41031</w:t>
            </w: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94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47-3552922</w:t>
            </w:r>
          </w:p>
        </w:tc>
      </w:tr>
      <w:tr>
        <w:trPr>
          <w:trHeight w:val="198"/>
        </w:trPr>
        <w:tc>
          <w:tcPr>
            <w:tcW w:w="3160" w:type="dxa"/>
            <w:vAlign w:val="bottom"/>
            <w:tcBorders>
              <w:top w:val="single" w:sz="8" w:color="auto"/>
            </w:tcBorders>
          </w:tcPr>
          <w:p>
            <w:pPr>
              <w:jc w:val="center"/>
              <w:ind w:left="370"/>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4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(Commission File No.)</w:t>
            </w:r>
          </w:p>
        </w:tc>
        <w:tc>
          <w:tcPr>
            <w:tcW w:w="20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940" w:type="dxa"/>
            <w:vAlign w:val="bottom"/>
            <w:tcBorders>
              <w:top w:val="single" w:sz="8" w:color="auto"/>
            </w:tcBorders>
          </w:tcPr>
          <w:p>
            <w:pPr>
              <w:ind w:left="50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6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94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6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360 Massachusetts Avenue, Suite 203</w:t>
            </w:r>
          </w:p>
        </w:tc>
        <w:tc>
          <w:tcPr>
            <w:tcW w:w="2940" w:type="dxa"/>
            <w:vAlign w:val="bottom"/>
          </w:tcPr>
          <w:p>
            <w:pPr>
              <w:spacing w:after="0"/>
              <w:rPr>
                <w:sz w:val="24"/>
                <w:szCs w:val="24"/>
                <w:color w:val="auto"/>
              </w:rPr>
            </w:pPr>
          </w:p>
        </w:tc>
      </w:tr>
      <w:tr>
        <w:trPr>
          <w:trHeight w:val="220"/>
        </w:trPr>
        <w:tc>
          <w:tcPr>
            <w:tcW w:w="3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60" w:type="dxa"/>
            <w:vAlign w:val="bottom"/>
            <w:gridSpan w:val="3"/>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Acton, MA 01720</w:t>
            </w:r>
          </w:p>
        </w:tc>
        <w:tc>
          <w:tcPr>
            <w:tcW w:w="2940" w:type="dxa"/>
            <w:vAlign w:val="bottom"/>
          </w:tcPr>
          <w:p>
            <w:pPr>
              <w:spacing w:after="0"/>
              <w:rPr>
                <w:sz w:val="19"/>
                <w:szCs w:val="19"/>
                <w:color w:val="auto"/>
              </w:rPr>
            </w:pPr>
          </w:p>
        </w:tc>
      </w:tr>
      <w:tr>
        <w:trPr>
          <w:trHeight w:val="234"/>
        </w:trPr>
        <w:tc>
          <w:tcPr>
            <w:tcW w:w="3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80" w:type="dxa"/>
            <w:vAlign w:val="bottom"/>
            <w:gridSpan w:val="4"/>
          </w:tcPr>
          <w:p>
            <w:pPr>
              <w:jc w:val="center"/>
              <w:ind w:right="680"/>
              <w:spacing w:after="0"/>
              <w:rPr>
                <w:sz w:val="20"/>
                <w:szCs w:val="20"/>
                <w:color w:val="auto"/>
              </w:rPr>
            </w:pPr>
            <w:r>
              <w:rPr>
                <w:rFonts w:ascii="Times New Roman" w:cs="Times New Roman" w:eastAsia="Times New Roman" w:hAnsi="Times New Roman"/>
                <w:sz w:val="18"/>
                <w:szCs w:val="18"/>
                <w:color w:val="auto"/>
                <w:w w:val="99"/>
              </w:rPr>
              <w:t>(Address of principal executive offices and zip code)</w:t>
            </w:r>
          </w:p>
        </w:tc>
        <w:tc>
          <w:tcPr>
            <w:tcW w:w="2940" w:type="dxa"/>
            <w:vAlign w:val="bottom"/>
          </w:tcPr>
          <w:p>
            <w:pPr>
              <w:spacing w:after="0"/>
              <w:rPr>
                <w:sz w:val="20"/>
                <w:szCs w:val="20"/>
                <w:color w:val="auto"/>
              </w:rPr>
            </w:pPr>
          </w:p>
        </w:tc>
      </w:tr>
      <w:tr>
        <w:trPr>
          <w:trHeight w:val="414"/>
        </w:trPr>
        <w:tc>
          <w:tcPr>
            <w:tcW w:w="3160" w:type="dxa"/>
            <w:vAlign w:val="bottom"/>
          </w:tcPr>
          <w:p>
            <w:pPr>
              <w:spacing w:after="0"/>
              <w:rPr>
                <w:sz w:val="24"/>
                <w:szCs w:val="24"/>
                <w:color w:val="auto"/>
              </w:rPr>
            </w:pPr>
          </w:p>
        </w:tc>
        <w:tc>
          <w:tcPr>
            <w:tcW w:w="4280" w:type="dxa"/>
            <w:vAlign w:val="bottom"/>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(844) 327-7078</w:t>
            </w: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234"/>
        </w:trPr>
        <w:tc>
          <w:tcPr>
            <w:tcW w:w="3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80" w:type="dxa"/>
            <w:vAlign w:val="bottom"/>
            <w:gridSpan w:val="4"/>
          </w:tcPr>
          <w:p>
            <w:pPr>
              <w:jc w:val="center"/>
              <w:ind w:right="68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940" w:type="dxa"/>
            <w:vAlign w:val="bottom"/>
          </w:tcPr>
          <w:p>
            <w:pPr>
              <w:spacing w:after="0"/>
              <w:rPr>
                <w:sz w:val="20"/>
                <w:szCs w:val="20"/>
                <w:color w:val="auto"/>
              </w:rPr>
            </w:pPr>
          </w:p>
        </w:tc>
      </w:tr>
      <w:tr>
        <w:trPr>
          <w:trHeight w:val="648"/>
        </w:trPr>
        <w:tc>
          <w:tcPr>
            <w:tcW w:w="3160" w:type="dxa"/>
            <w:vAlign w:val="bottom"/>
          </w:tcPr>
          <w:p>
            <w:pPr>
              <w:spacing w:after="0"/>
              <w:rPr>
                <w:sz w:val="24"/>
                <w:szCs w:val="24"/>
                <w:color w:val="auto"/>
              </w:rPr>
            </w:pPr>
          </w:p>
        </w:tc>
        <w:tc>
          <w:tcPr>
            <w:tcW w:w="514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color w:val="auto"/>
                <w:w w:val="99"/>
              </w:rPr>
              <w:t>(Former name or former address, if changed from last report)</w:t>
            </w:r>
          </w:p>
        </w:tc>
        <w:tc>
          <w:tcPr>
            <w:tcW w:w="29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240.13e-14(c))</w:t>
      </w:r>
    </w:p>
    <w:p>
      <w:pPr>
        <w:spacing w:after="0" w:line="22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9"/>
        </w:trPr>
        <w:tc>
          <w:tcPr>
            <w:tcW w:w="452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12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Trading Symbol (s)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920" w:type="dxa"/>
            <w:vAlign w:val="bottom"/>
            <w:tcBorders>
              <w:top w:val="single" w:sz="8" w:color="auto"/>
            </w:tcBorders>
            <w:shd w:val="clear" w:color="auto" w:fill="CCEEFF"/>
          </w:tcPr>
          <w:p>
            <w:pPr>
              <w:jc w:val="center"/>
              <w:ind w:right="590"/>
              <w:spacing w:after="0"/>
              <w:rPr>
                <w:sz w:val="20"/>
                <w:szCs w:val="20"/>
                <w:color w:val="auto"/>
              </w:rPr>
            </w:pPr>
            <w:r>
              <w:rPr>
                <w:rFonts w:ascii="Times New Roman" w:cs="Times New Roman" w:eastAsia="Times New Roman" w:hAnsi="Times New Roman"/>
                <w:sz w:val="18"/>
                <w:szCs w:val="18"/>
                <w:color w:val="auto"/>
                <w:w w:val="97"/>
              </w:rPr>
              <w:t>BJDX</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6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tcPr>
          <w:p>
            <w:pPr>
              <w:spacing w:after="0"/>
              <w:rPr>
                <w:sz w:val="18"/>
                <w:szCs w:val="18"/>
                <w:color w:val="auto"/>
              </w:rPr>
            </w:pPr>
          </w:p>
        </w:tc>
      </w:tr>
      <w:tr>
        <w:trPr>
          <w:trHeight w:val="28"/>
        </w:trPr>
        <w:tc>
          <w:tcPr>
            <w:tcW w:w="3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655"/>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09" w:right="339" w:bottom="987"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June 2, 2026, Bluejay Diagnostics, Inc. (the “Company”), in connection with a private placement of the Company’s securities, entered into with certain institutional, accredited investors (i) a securities purchase agreement, and (ii) a registration rights agreement (the “private placement”). The private placement closed on June 5, 2026.</w:t>
      </w:r>
    </w:p>
    <w:p>
      <w:pPr>
        <w:spacing w:after="0" w:line="17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Pursuant to the purchase agreement, the Company offered and sold (i) pre-funded warrants to purchase up to 3,655,917 shares of the Company’s common stock (“common stock,” and such warrants, the “Pre-Funded Warrants”), (ii) Series G warrants (the “Series G Warrants”) to purchase up to 3,655,917 shares of common stock and (iii) Series H warrants (the “Series H Warrants”) to purchase up to 3,655,917 shares of common stock. The combined price of securities sold in the private placement was $2.324 per Pre-Funded Warrant and accompanying Series G Warrant and Series H Warrant. The Pre-Funded Warrants are immediately exercisable for shares of common stock at an exercise price of $0.0001 per share, and expire once exercised in full. The Series G Warrants and Series H Warrants are immediately exercisable for shares of common stock at an exercise price of $2.075 per share. The Series G Warrants expire five years from the effective date of the resale registration statement registering the shares of common stock issuable upon exercise of the Pre-Funded Warrants, Series G Warrants and Series H Warrants (the “Effective Date”). The Series H Warrants expire twenty-four months from the Effective Date.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H.C. Wainwright &amp; Co. (the “placement agent”) served as the exclusive placement agent for the private placement.</w:t>
      </w:r>
    </w:p>
    <w:p>
      <w:pPr>
        <w:spacing w:after="0" w:line="22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At closing, the Company received proceeds of approximately $7.7 million after payment to the placement agent of an 7% cash fee, a 1% management fee and reimbursement of certain fees and expenses of the placement agent, in each case, pursuant to an engagement letter entered into with the placement agent on April 11, 2026. In addition, pursuant to such engagement letter, the Company issued to the placement agent (or its designees) warrants (“Placement Agent Warrants” and together with the Series G Warrants and the Series H Warrants, the “Common Warrants”) to purchase up to an aggregate of 255,915 shares of common stock on the same terms as the Series G Warrants, except that the exercise price per share is 125% of the combined price per Pre-Funded Warrant, Series G Warrant and Series H Warrant sold in the offering, plus $0.0001. In addition, upon the exercise for cash of the Series G Warrants and the Series H Warrants, the Company shall (A) pay the placement agent, (i) a cash fee of 7.0% of the aggregate gross exercise price paid in cash with respect thereto and (ii) a management fee of 1.0% of the aggregate gross exercise price paid in cash with respect thereto and (B) issue to the placement agent (or its designees), placement agent warrants to purchase that number of shares of common stock equal to 7.0% of the aggregate number of such shares of common stock underlying such warrants that have been so exercised.</w:t>
      </w:r>
    </w:p>
    <w:p>
      <w:pPr>
        <w:spacing w:after="0" w:line="194"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7"/>
          <w:szCs w:val="17"/>
          <w:color w:val="auto"/>
        </w:rPr>
        <w:t>Pursuant to the terms of the registration rights agreement, the Company has agreed to register for resale, at the Company’s expense, all of the shares of common stock collectively exercisable pursuant to the Pre-Funded Warrants, the Series G Warrants and the Series H Warrants. The Company has agreed to</w:t>
      </w:r>
    </w:p>
    <w:p>
      <w:pPr>
        <w:spacing w:after="0" w:line="1" w:lineRule="exact"/>
        <w:rPr>
          <w:sz w:val="20"/>
          <w:szCs w:val="20"/>
          <w:color w:val="auto"/>
        </w:rPr>
      </w:pPr>
    </w:p>
    <w:p>
      <w:pPr>
        <w:ind w:right="60" w:firstLine="8"/>
        <w:spacing w:after="0" w:line="252" w:lineRule="auto"/>
        <w:tabs>
          <w:tab w:leader="none" w:pos="2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such a resale registration statement by June 17, 2026, (ii) use its best efforts to cause such registration statement to be declared effective by the Securities and Exchange Commission (the “SEC”) under the Securities Act of 1933, as amended (the “Securities Act”), as promptly as possible after filing (and in no event later than certain dates specified in the registration rights agreement, depending on the circumstances), and (iii) use its best efforts to keep such resale registration statement continuously effective under the Securities Act until the date that all shares of common stock registered thereunder have been sold or may be sold without registration under Rule 144. Failure by the Company to meet the filing deadlines and other requirements set forth in the registration rights agreement would subject the Company to certain specified liquidated damages amounts payable to the purchasers in the private placement.</w:t>
      </w:r>
    </w:p>
    <w:p>
      <w:pPr>
        <w:spacing w:after="0" w:line="188" w:lineRule="exact"/>
        <w:rPr>
          <w:sz w:val="20"/>
          <w:szCs w:val="20"/>
          <w:color w:val="auto"/>
        </w:rPr>
      </w:pPr>
    </w:p>
    <w:p>
      <w:pPr>
        <w:ind w:right="80"/>
        <w:spacing w:after="0" w:line="274" w:lineRule="auto"/>
        <w:rPr>
          <w:sz w:val="20"/>
          <w:szCs w:val="20"/>
          <w:color w:val="auto"/>
        </w:rPr>
      </w:pPr>
      <w:r>
        <w:rPr>
          <w:rFonts w:ascii="Times New Roman" w:cs="Times New Roman" w:eastAsia="Times New Roman" w:hAnsi="Times New Roman"/>
          <w:sz w:val="17"/>
          <w:szCs w:val="17"/>
          <w:color w:val="auto"/>
        </w:rPr>
        <w:t>Pursuant to the terms of the purchase agreement, the Company generally may not, until the date that is 90 calendar days after the Effective Date, issue or enter into agreements to issue shares of common stock or securities convertible into or exercisable for common stock. In addition, the purchase agreement provides that until the date that is one year following the date that the resale registration statement is declared effective by the SEC, the Company may not, without the prior written consent of investors who purchased a majority of the securities sold in the private placement, (i) engage in certain “variable rate transactions” (as defined in the purchase agreement) related to its securities, or (ii) undertake a reverse or forward stock split or recapitalization, other than in the good faith determination of the Company’s board of directors to maintain its listing on the Nasdaq Capital Market, subject to certain exceptions.</w:t>
      </w:r>
    </w:p>
    <w:p>
      <w:pPr>
        <w:spacing w:after="0" w:line="17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Holders of the warrants will not have the right to exercise any portion of such warrants if such holder, together with its affiliates, would beneficially own in excess of 4.99% or 9.99% (at the initial election of the holder) of the number of shares of common stock outstanding immediately after giving effect to such exercise, provided that a holder may increase or decrease such beneficial ownership limitation up to, and no higher than, 9.99%, by giving 61 calendar days’ notice to the Company.</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2" w:name="page3"/>
    <w:bookmarkEnd w:id="2"/>
    <w:p>
      <w:pPr>
        <w:ind w:right="80"/>
        <w:spacing w:after="0" w:line="261" w:lineRule="auto"/>
        <w:rPr>
          <w:sz w:val="20"/>
          <w:szCs w:val="20"/>
          <w:color w:val="auto"/>
        </w:rPr>
      </w:pPr>
      <w:r>
        <w:rPr>
          <w:rFonts w:ascii="Times New Roman" w:cs="Times New Roman" w:eastAsia="Times New Roman" w:hAnsi="Times New Roman"/>
          <w:sz w:val="18"/>
          <w:szCs w:val="18"/>
          <w:color w:val="auto"/>
        </w:rPr>
        <w:t>The Common Warrants include certain rights upon a “fundamental transaction” (as defined in the Common Warrants), including the right of the holders thereof to receive from the Company or a successor entity cash or the same type or form of consideration (and in the same proportion) that is being offered and paid to the holders of common stock in such fundamental transaction in the amount of the “Black Scholes value” (as defined in such Common Warrants) of the unexercised portion of the applicable warrants on the date of the consummation of such fundamental transaction.</w:t>
      </w:r>
    </w:p>
    <w:p>
      <w:pPr>
        <w:spacing w:after="0" w:line="180" w:lineRule="exact"/>
        <w:rPr>
          <w:sz w:val="20"/>
          <w:szCs w:val="20"/>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The Common Warrants sold and issued in the private placement were sold and issued without registration under the Securities Act in reliance on the exemptions provided by Section 4(a)(2) of the Securities Act as transactions not involving a public offering and/or Rule 506 promulgated under the Securities Act as sales to accredited investors.</w:t>
      </w:r>
    </w:p>
    <w:p>
      <w:pPr>
        <w:spacing w:after="0" w:line="176"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foregoing descriptions of the Pre-Funded Warrants, the Series G Warrants, the Series H Warrants, the Placement Agent Warrants, the purchase agreement and the registration rights agreement are not complete and are qualified in their entirety by reference to the full text of such warrants and/or agreements, the forms of which are attached hereto as Exhibits 4.1, 4.2, 4.3, 4.4, 10.1 and 10.2, respectively, and are incorporated by reference into this Item 1.01.</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8"/>
          <w:szCs w:val="18"/>
          <w:b w:val="1"/>
          <w:bCs w:val="1"/>
          <w:color w:val="auto"/>
        </w:rPr>
        <w:t>Unregistered Sales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disclosures in Item 1.01 of this Current Report on Form 8-K are incorporated by reference into this Item 3.02.</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On June 2, 2026, the Company issued a press release announcing the pricing of the private placement, and on June 5, 2026, the Company issued a press release announcing the closing of the private placement. Copies of such press releases are attached hereto as Exhibits 99.1 and 99.2, respectively, and are incorporated by reference into this Item 8.01.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00" w:type="dxa"/>
            <w:vAlign w:val="bottom"/>
            <w:gridSpan w:val="7"/>
          </w:tcPr>
          <w:p>
            <w:pPr>
              <w:ind w:left="16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3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20" w:type="dxa"/>
            <w:vAlign w:val="bottom"/>
          </w:tcPr>
          <w:p>
            <w:pPr>
              <w:spacing w:after="0"/>
              <w:rPr>
                <w:sz w:val="24"/>
                <w:szCs w:val="24"/>
                <w:color w:val="auto"/>
              </w:rPr>
            </w:pP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1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140" w:type="dxa"/>
            <w:vAlign w:val="bottom"/>
            <w:tcBorders>
              <w:top w:val="single" w:sz="8" w:color="auto"/>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Form of Pre-Funded Warrant.</w:t>
            </w:r>
          </w:p>
        </w:tc>
        <w:tc>
          <w:tcPr>
            <w:tcW w:w="7960" w:type="dxa"/>
            <w:vAlign w:val="bottom"/>
            <w:tcBorders>
              <w:top w:val="single" w:sz="8" w:color="auto"/>
              <w:bottom w:val="single" w:sz="8" w:color="CCEEFF"/>
            </w:tcBorders>
            <w:gridSpan w:val="5"/>
            <w:shd w:val="clear" w:color="auto" w:fill="CCEEFF"/>
          </w:tcPr>
          <w:p>
            <w:pPr>
              <w:spacing w:after="0"/>
              <w:rPr>
                <w:sz w:val="17"/>
                <w:szCs w:val="17"/>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5"/>
                <w:szCs w:val="15"/>
                <w:color w:val="auto"/>
              </w:rPr>
            </w:pPr>
          </w:p>
        </w:tc>
        <w:tc>
          <w:tcPr>
            <w:tcW w:w="1010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Form of Series G Warrant.</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Form of Series H Warrant.</w:t>
            </w:r>
          </w:p>
        </w:tc>
        <w:tc>
          <w:tcPr>
            <w:tcW w:w="8180" w:type="dxa"/>
            <w:vAlign w:val="bottom"/>
            <w:tcBorders>
              <w:bottom w:val="single" w:sz="8" w:color="CCEEFF"/>
            </w:tcBorders>
            <w:gridSpan w:val="6"/>
            <w:shd w:val="clear" w:color="auto" w:fill="CCEEFF"/>
          </w:tcPr>
          <w:p>
            <w:pPr>
              <w:spacing w:after="0"/>
              <w:rPr>
                <w:sz w:val="17"/>
                <w:szCs w:val="17"/>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5"/>
                <w:szCs w:val="15"/>
                <w:color w:val="auto"/>
              </w:rPr>
            </w:pPr>
          </w:p>
        </w:tc>
        <w:tc>
          <w:tcPr>
            <w:tcW w:w="1010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Form of Placement Agent Warrant.</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7"/>
                <w:szCs w:val="17"/>
                <w:color w:val="auto"/>
              </w:rPr>
            </w:pPr>
          </w:p>
        </w:tc>
        <w:tc>
          <w:tcPr>
            <w:tcW w:w="1010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Form of Securities Purchase Agreement.</w:t>
            </w:r>
          </w:p>
        </w:tc>
      </w:tr>
      <w:tr>
        <w:trPr>
          <w:trHeight w:val="175"/>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top w:val="single" w:sz="8" w:color="CCEEFF"/>
            </w:tcBorders>
          </w:tcPr>
          <w:p>
            <w:pPr>
              <w:spacing w:after="0"/>
              <w:rPr>
                <w:sz w:val="15"/>
                <w:szCs w:val="15"/>
                <w:color w:val="auto"/>
              </w:rPr>
            </w:pPr>
          </w:p>
        </w:tc>
        <w:tc>
          <w:tcPr>
            <w:tcW w:w="2920" w:type="dxa"/>
            <w:vAlign w:val="bottom"/>
            <w:tcBorders>
              <w:top w:val="single" w:sz="8" w:color="0000EE"/>
              <w:bottom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w w:val="99"/>
              </w:rPr>
              <w:t>Form of Registration Rights Agreement.</w:t>
            </w:r>
          </w:p>
        </w:tc>
        <w:tc>
          <w:tcPr>
            <w:tcW w:w="7180" w:type="dxa"/>
            <w:vAlign w:val="bottom"/>
            <w:tcBorders>
              <w:top w:val="single" w:sz="8" w:color="CCEEFF"/>
            </w:tcBorders>
            <w:gridSpan w:val="3"/>
          </w:tcPr>
          <w:p>
            <w:pPr>
              <w:spacing w:after="0"/>
              <w:rPr>
                <w:sz w:val="15"/>
                <w:szCs w:val="15"/>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bottom w:val="single" w:sz="8" w:color="CCEEFF"/>
            </w:tcBorders>
            <w:shd w:val="clear" w:color="auto" w:fill="CCEEFF"/>
          </w:tcPr>
          <w:p>
            <w:pPr>
              <w:spacing w:after="0"/>
              <w:rPr>
                <w:sz w:val="17"/>
                <w:szCs w:val="17"/>
                <w:color w:val="auto"/>
              </w:rPr>
            </w:pPr>
          </w:p>
        </w:tc>
        <w:tc>
          <w:tcPr>
            <w:tcW w:w="304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Pricing Press Release, dated June 2, 2026.</w:t>
            </w:r>
          </w:p>
        </w:tc>
        <w:tc>
          <w:tcPr>
            <w:tcW w:w="7060" w:type="dxa"/>
            <w:vAlign w:val="bottom"/>
            <w:tcBorders>
              <w:bottom w:val="single" w:sz="8" w:color="CCEEFF"/>
            </w:tcBorders>
            <w:gridSpan w:val="2"/>
            <w:shd w:val="clear" w:color="auto" w:fill="CCEEFF"/>
          </w:tcPr>
          <w:p>
            <w:pPr>
              <w:spacing w:after="0"/>
              <w:rPr>
                <w:sz w:val="17"/>
                <w:szCs w:val="17"/>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20" w:type="dxa"/>
            <w:vAlign w:val="bottom"/>
          </w:tcPr>
          <w:p>
            <w:pPr>
              <w:spacing w:after="0"/>
              <w:rPr>
                <w:sz w:val="15"/>
                <w:szCs w:val="15"/>
                <w:color w:val="auto"/>
              </w:rPr>
            </w:pPr>
          </w:p>
        </w:tc>
        <w:tc>
          <w:tcPr>
            <w:tcW w:w="3080" w:type="dxa"/>
            <w:vAlign w:val="bottom"/>
            <w:tcBorders>
              <w:bottom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w w:val="99"/>
              </w:rPr>
              <w:t>Closing Press Release, dated June 5, 2026.</w:t>
            </w:r>
          </w:p>
        </w:tc>
        <w:tc>
          <w:tcPr>
            <w:tcW w:w="7020" w:type="dxa"/>
            <w:vAlign w:val="bottom"/>
          </w:tcPr>
          <w:p>
            <w:pPr>
              <w:spacing w:after="0"/>
              <w:rPr>
                <w:sz w:val="15"/>
                <w:szCs w:val="15"/>
                <w:color w:val="auto"/>
              </w:rPr>
            </w:pPr>
          </w:p>
        </w:tc>
      </w:tr>
    </w:tbl>
    <w:p>
      <w:pPr>
        <w:spacing w:after="0" w:line="9" w:lineRule="exact"/>
        <w:rPr>
          <w:sz w:val="20"/>
          <w:szCs w:val="20"/>
          <w:color w:val="auto"/>
        </w:rPr>
      </w:pPr>
    </w:p>
    <w:p>
      <w:pPr>
        <w:ind w:left="5580" w:right="4280" w:hanging="5572"/>
        <w:spacing w:after="0" w:line="783" w:lineRule="auto"/>
        <w:tabs>
          <w:tab w:leader="none" w:pos="114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-845185</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Bluejay Diagnostics, Inc.</w:t>
      </w:r>
    </w:p>
    <w:p>
      <w:pPr>
        <w:spacing w:after="0" w:line="229"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tab/>
        <w:t>/s/ Neil Dey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Neil Dey</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8, 2026</w:t>
      </w:r>
    </w:p>
    <w:p>
      <w:pPr>
        <w:spacing w:after="0" w:line="200" w:lineRule="exact"/>
        <w:rPr>
          <w:sz w:val="20"/>
          <w:szCs w:val="20"/>
          <w:color w:val="auto"/>
        </w:rPr>
      </w:pPr>
    </w:p>
    <w:p>
      <w:pPr>
        <w:spacing w:after="0" w:line="24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00"/>
          </w:cols>
          <w:pgMar w:left="320" w:top="333" w:right="879" w:bottom="1440" w:gutter="0" w:footer="0" w:header="0"/>
        </w:sectPr>
      </w:pPr>
    </w:p>
    <w:bookmarkStart w:id="4" w:name="page5"/>
    <w:bookmarkEnd w:id="4"/>
    <w:p>
      <w:pPr>
        <w:ind w:left="10400"/>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4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PRE-FUNDED COMMON STOCK PURCHASE WARRANT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BLUEJAY DIAGNOSTICS, INC.</w:t>
      </w:r>
    </w:p>
    <w:p>
      <w:pPr>
        <w:sectPr>
          <w:pgSz w:w="11900" w:h="16838" w:orient="portrait"/>
          <w:cols w:equalWidth="0" w:num="1">
            <w:col w:w="11240"/>
          </w:cols>
          <w:pgMar w:left="320" w:top="117" w:right="3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Warrant Shares: _______</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Issue Date: June 5, 2026</w:t>
      </w:r>
    </w:p>
    <w:p>
      <w:pPr>
        <w:spacing w:after="0" w:line="200" w:lineRule="exact"/>
        <w:rPr>
          <w:sz w:val="20"/>
          <w:szCs w:val="20"/>
          <w:color w:val="auto"/>
        </w:rPr>
      </w:pPr>
    </w:p>
    <w:p>
      <w:pPr>
        <w:sectPr>
          <w:pgSz w:w="11900" w:h="16838" w:orient="portrait"/>
          <w:cols w:equalWidth="0" w:num="2">
            <w:col w:w="7160" w:space="720"/>
            <w:col w:w="3360"/>
          </w:cols>
          <w:pgMar w:left="320" w:top="117" w:right="339" w:bottom="1440" w:gutter="0" w:footer="0" w:header="0"/>
          <w:type w:val="continuous"/>
        </w:sectPr>
      </w:pPr>
    </w:p>
    <w:p>
      <w:pPr>
        <w:spacing w:after="0" w:line="3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7"/>
          <w:szCs w:val="17"/>
          <w:color w:val="auto"/>
        </w:rPr>
        <w:t>Initial Exercise Date: June 5, 2026</w:t>
      </w:r>
    </w:p>
    <w:p>
      <w:pPr>
        <w:sectPr>
          <w:pgSz w:w="11900" w:h="16838" w:orient="portrait"/>
          <w:cols w:equalWidth="0" w:num="1">
            <w:col w:w="11240"/>
          </w:cols>
          <w:pgMar w:left="320" w:top="117" w:right="339" w:bottom="1440" w:gutter="0" w:footer="0" w:header="0"/>
          <w:type w:val="continuous"/>
        </w:sectPr>
      </w:pP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PRE-FUNDED COMMON STOCK PURCHASE WARRANT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_____________</w:t>
      </w:r>
    </w:p>
    <w:p>
      <w:pPr>
        <w:spacing w:after="0" w:line="27"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7"/>
          <w:szCs w:val="17"/>
          <w:color w:val="auto"/>
        </w:rPr>
        <w:t>or its assigns (the “</w:t>
      </w:r>
      <w:r>
        <w:rPr>
          <w:rFonts w:ascii="Times New Roman" w:cs="Times New Roman" w:eastAsia="Times New Roman" w:hAnsi="Times New Roman"/>
          <w:sz w:val="17"/>
          <w:szCs w:val="17"/>
          <w:u w:val="single" w:color="auto"/>
          <w:color w:val="auto"/>
        </w:rPr>
        <w:t>Holder</w:t>
      </w:r>
      <w:r>
        <w:rPr>
          <w:rFonts w:ascii="Times New Roman" w:cs="Times New Roman" w:eastAsia="Times New Roman" w:hAnsi="Times New Roman"/>
          <w:sz w:val="17"/>
          <w:szCs w:val="17"/>
          <w:color w:val="auto"/>
        </w:rPr>
        <w:t>”) is entitled, upon the terms and subject to the limitations on exercise and the conditions hereinafter set forth, at any time on or after the date set forth above (the “</w:t>
      </w:r>
      <w:r>
        <w:rPr>
          <w:rFonts w:ascii="Times New Roman" w:cs="Times New Roman" w:eastAsia="Times New Roman" w:hAnsi="Times New Roman"/>
          <w:sz w:val="17"/>
          <w:szCs w:val="17"/>
          <w:u w:val="single" w:color="auto"/>
          <w:color w:val="auto"/>
        </w:rPr>
        <w:t>Initial Exercise Date</w:t>
      </w:r>
      <w:r>
        <w:rPr>
          <w:rFonts w:ascii="Times New Roman" w:cs="Times New Roman" w:eastAsia="Times New Roman" w:hAnsi="Times New Roman"/>
          <w:sz w:val="17"/>
          <w:szCs w:val="17"/>
          <w:color w:val="auto"/>
        </w:rPr>
        <w:t>”) and until this Warrant is exercised in full (the “</w:t>
      </w:r>
      <w:r>
        <w:rPr>
          <w:rFonts w:ascii="Times New Roman" w:cs="Times New Roman" w:eastAsia="Times New Roman" w:hAnsi="Times New Roman"/>
          <w:sz w:val="17"/>
          <w:szCs w:val="17"/>
          <w:u w:val="single" w:color="auto"/>
          <w:color w:val="auto"/>
        </w:rPr>
        <w:t>Termination Date</w:t>
      </w:r>
      <w:r>
        <w:rPr>
          <w:rFonts w:ascii="Times New Roman" w:cs="Times New Roman" w:eastAsia="Times New Roman" w:hAnsi="Times New Roman"/>
          <w:sz w:val="17"/>
          <w:szCs w:val="17"/>
          <w:color w:val="auto"/>
        </w:rPr>
        <w:t>”) but not thereafter, to subscribe for and purchase from Bluejay Diagnostics,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up to ______ shares (as subject to adjustment hereunder, the</w:t>
      </w:r>
    </w:p>
    <w:p>
      <w:pPr>
        <w:ind w:right="14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of the Company’s Common Stock. The purchase price of one share of Common Stock under this Warrant shall be equal to the Exercise Price, as defined in Section 2(b).</w:t>
      </w:r>
    </w:p>
    <w:p>
      <w:pPr>
        <w:spacing w:after="0" w:line="181"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shall have the meanings set forth in that certain Securities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dated June 2, 2026, among the Company and the purchasers signatory thereto.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right="40" w:firstLine="644"/>
        <w:spacing w:after="0" w:line="272" w:lineRule="auto"/>
        <w:tabs>
          <w:tab w:leader="none" w:pos="149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of Warrant</w:t>
      </w:r>
      <w:r>
        <w:rPr>
          <w:rFonts w:ascii="Times New Roman" w:cs="Times New Roman" w:eastAsia="Times New Roman" w:hAnsi="Times New Roman"/>
          <w:sz w:val="17"/>
          <w:szCs w:val="17"/>
          <w:color w:val="auto"/>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7"/>
          <w:szCs w:val="17"/>
          <w:u w:val="single" w:color="auto"/>
          <w:color w:val="auto"/>
        </w:rPr>
        <w:t>Notice of Exercise</w:t>
      </w:r>
      <w:r>
        <w:rPr>
          <w:rFonts w:ascii="Times New Roman" w:cs="Times New Roman" w:eastAsia="Times New Roman" w:hAnsi="Times New Roman"/>
          <w:sz w:val="17"/>
          <w:szCs w:val="17"/>
          <w:color w:val="auto"/>
        </w:rPr>
        <w:t>”). Within the earlier of (i) one (1)</w:t>
      </w:r>
    </w:p>
    <w:p>
      <w:pPr>
        <w:spacing w:after="0" w:line="1" w:lineRule="exact"/>
        <w:rPr>
          <w:rFonts w:ascii="Times New Roman" w:cs="Times New Roman" w:eastAsia="Times New Roman" w:hAnsi="Times New Roman"/>
          <w:sz w:val="17"/>
          <w:szCs w:val="17"/>
          <w:color w:val="auto"/>
        </w:rPr>
      </w:pPr>
    </w:p>
    <w:p>
      <w:pPr>
        <w:ind w:left="660" w:right="8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Trading Day and (ii) the number of Trading Days comprising the Standard Settlement Period (as defined in Section 2(d)(i) herein), in each case,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as soon as reasonably practicable, but in no event later than the third Trading Day following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 w:cs="Times New Roman" w:eastAsia="Times New Roman" w:hAnsi="Times New Roman"/>
          <w:sz w:val="18"/>
          <w:szCs w:val="18"/>
          <w:b w:val="1"/>
          <w:bCs w:val="1"/>
          <w:color w:val="auto"/>
        </w:rPr>
        <w:t>The Holder and any assignee, by acceptance of this Warrant, acknowledge and agree that, by reason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provisions of this paragraph, following the purchase of a portion of the Warrant Shares hereunder, the number of Warrant Shares available for purchase hereunder at any given time may be less than the amount stated on the face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 w:name="page6"/>
    <w:bookmarkEnd w:id="5"/>
    <w:p>
      <w:pPr>
        <w:ind w:left="-460" w:right="60" w:firstLine="644"/>
        <w:spacing w:after="0" w:line="256" w:lineRule="auto"/>
        <w:tabs>
          <w:tab w:leader="none" w:pos="38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aggregate exercise price of this Warrant, except for a nominal exercise price of $0.0001 per Warrant Share, was pre-funded to the Company on or prior to the Initial Exercise Date and, consequently, no additional consideration (other than the nominal exercise price of $0.0001 per Warrant Share) shall be required to be paid by the Holder to any Person to effect any exercise of this Warrant. The Holder shall not be entitled to the return or refund of all, or any portion, of such pre-paid aggregate exercise price under any circumstance or for any reason whatsoever, including in the event this Warrant shall not have been exercised prior to the Termination Date. The remaining unpaid exercise price per share of Common Stock under this Warrant shall be $0.0001,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460" w:firstLine="644"/>
        <w:spacing w:after="0" w:line="261" w:lineRule="auto"/>
        <w:tabs>
          <w:tab w:leader="none" w:pos="37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If at the time of exercise hereof there is no effective registration statement registering, or the prospectus contained therein is not available for the resale of the Warrant Shares by the Holder, then this Warrant may also be exercised, in whole or in part, at such time by means of a “cashless exercise” in which the Holder shall be entitled to receive a number of Warrant Shares equal to the quotient obtained by dividing [(A-B) (X)] by (A), where:</w:t>
      </w:r>
    </w:p>
    <w:p>
      <w:pPr>
        <w:spacing w:after="0" w:line="180" w:lineRule="exact"/>
        <w:rPr>
          <w:sz w:val="20"/>
          <w:szCs w:val="20"/>
          <w:color w:val="auto"/>
        </w:rPr>
      </w:pPr>
    </w:p>
    <w:p>
      <w:pPr>
        <w:ind w:left="700" w:right="20" w:hanging="516"/>
        <w:spacing w:after="0" w:line="253" w:lineRule="auto"/>
        <w:tabs>
          <w:tab w:leader="none" w:pos="48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91" w:lineRule="exact"/>
        <w:rPr>
          <w:rFonts w:ascii="Times New Roman" w:cs="Times New Roman" w:eastAsia="Times New Roman" w:hAnsi="Times New Roman"/>
          <w:sz w:val="18"/>
          <w:szCs w:val="18"/>
          <w:color w:val="auto"/>
        </w:rPr>
      </w:pPr>
    </w:p>
    <w:p>
      <w:pPr>
        <w:ind w:left="460" w:hanging="276"/>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of this Warrant, as adjusted hereunder; and</w:t>
      </w:r>
    </w:p>
    <w:p>
      <w:pPr>
        <w:spacing w:after="0" w:line="225" w:lineRule="exact"/>
        <w:rPr>
          <w:sz w:val="20"/>
          <w:szCs w:val="20"/>
          <w:color w:val="auto"/>
        </w:rPr>
      </w:pPr>
    </w:p>
    <w:p>
      <w:pPr>
        <w:ind w:left="700" w:right="80" w:hanging="516"/>
        <w:spacing w:after="0" w:line="282" w:lineRule="auto"/>
        <w:tabs>
          <w:tab w:leader="none" w:pos="48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37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6" w:name="page7"/>
    <w:bookmarkEnd w:id="6"/>
    <w:p>
      <w:pPr>
        <w:ind w:right="20"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the OTCQB Venture Market (the “</w:t>
      </w:r>
      <w:r>
        <w:rPr>
          <w:rFonts w:ascii="Times New Roman" w:cs="Times New Roman" w:eastAsia="Times New Roman" w:hAnsi="Times New Roman"/>
          <w:sz w:val="18"/>
          <w:szCs w:val="18"/>
          <w:u w:val="single" w:color="auto"/>
          <w:color w:val="auto"/>
        </w:rPr>
        <w:t>OTCQB</w:t>
      </w:r>
      <w:r>
        <w:rPr>
          <w:rFonts w:ascii="Times New Roman" w:cs="Times New Roman" w:eastAsia="Times New Roman" w:hAnsi="Times New Roman"/>
          <w:sz w:val="18"/>
          <w:szCs w:val="18"/>
          <w:color w:val="auto"/>
        </w:rPr>
        <w:t>”) or the OTCQX Best Market (the “</w:t>
      </w:r>
      <w:r>
        <w:rPr>
          <w:rFonts w:ascii="Times New Roman" w:cs="Times New Roman" w:eastAsia="Times New Roman" w:hAnsi="Times New Roman"/>
          <w:sz w:val="18"/>
          <w:szCs w:val="18"/>
          <w:u w:val="single" w:color="auto"/>
          <w:color w:val="auto"/>
        </w:rPr>
        <w:t>OTCQX</w:t>
      </w:r>
      <w:r>
        <w:rPr>
          <w:rFonts w:ascii="Times New Roman" w:cs="Times New Roman" w:eastAsia="Times New Roman" w:hAnsi="Times New Roman"/>
          <w:sz w:val="18"/>
          <w:szCs w:val="18"/>
          <w:color w:val="auto"/>
        </w:rPr>
        <w:t>”)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operated by the OTC Markets, Inc. (the “</w:t>
      </w:r>
      <w:r>
        <w:rPr>
          <w:rFonts w:ascii="Times New Roman" w:cs="Times New Roman" w:eastAsia="Times New Roman" w:hAnsi="Times New Roman"/>
          <w:sz w:val="18"/>
          <w:szCs w:val="18"/>
          <w:u w:val="single" w:color="auto"/>
          <w:color w:val="auto"/>
        </w:rPr>
        <w:t>Pink Market</w:t>
      </w:r>
      <w:r>
        <w:rPr>
          <w:rFonts w:ascii="Times New Roman" w:cs="Times New Roman" w:eastAsia="Times New Roman" w:hAnsi="Times New Roman"/>
          <w:sz w:val="18"/>
          <w:szCs w:val="18"/>
          <w:color w:val="auto"/>
        </w:rPr>
        <w: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Securities then outstanding and reasonably acceptable to the Company, the fees and expenses of which shall be paid by the Company.</w:t>
      </w:r>
    </w:p>
    <w:p>
      <w:pPr>
        <w:spacing w:after="0" w:line="19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the OTCQB or the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Market, the most recent bid price per share of the Common Stock so reported, or (d) in all other cases, the fair market value of a share of Common Stock as determined by an independent appraiser selected in good faith by the Holders of a majority in interest of the Securities then outstanding and reasonably acceptable to the Company, the fees and expenses of which shall be paid by the Company.</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Warrant Shares are issued in such a cashless exercise, the parties acknowledge and agree that in accordance with Section 3(a)(9) of the Securities Act, the holding period of the Warrant Shares being issued may be tacked on to the holding period of this Warrant. The Company agrees not to take any position contrary to this Section 2(c).</w:t>
      </w:r>
    </w:p>
    <w:p>
      <w:pPr>
        <w:spacing w:after="0" w:line="176" w:lineRule="exact"/>
        <w:rPr>
          <w:sz w:val="20"/>
          <w:szCs w:val="20"/>
          <w:color w:val="auto"/>
        </w:rPr>
      </w:pPr>
    </w:p>
    <w:p>
      <w:pPr>
        <w:ind w:left="840" w:hanging="196"/>
        <w:spacing w:after="0"/>
        <w:tabs>
          <w:tab w:leader="none" w:pos="8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right="40" w:firstLine="640"/>
        <w:spacing w:after="0" w:line="266" w:lineRule="auto"/>
        <w:tabs>
          <w:tab w:leader="none" w:pos="2088"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Delivery of Warrant Shares Upon Exercise</w:t>
      </w:r>
      <w:r>
        <w:rPr>
          <w:rFonts w:ascii="Times New Roman" w:cs="Times New Roman" w:eastAsia="Times New Roman" w:hAnsi="Times New Roman"/>
          <w:sz w:val="17"/>
          <w:szCs w:val="17"/>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7"/>
          <w:szCs w:val="17"/>
          <w:u w:val="single" w:color="auto"/>
          <w:color w:val="auto"/>
        </w:rPr>
        <w:t>DWAC</w:t>
      </w:r>
      <w:r>
        <w:rPr>
          <w:rFonts w:ascii="Times New Roman" w:cs="Times New Roman" w:eastAsia="Times New Roman" w:hAnsi="Times New Roman"/>
          <w:sz w:val="17"/>
          <w:szCs w:val="17"/>
          <w:color w:val="auto"/>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the Warrants), and otherwise by book entry credit,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in each case after the delivery to the Company of the Notice of Exercise (such date, the “</w:t>
      </w:r>
      <w:r>
        <w:rPr>
          <w:rFonts w:ascii="Times New Roman" w:cs="Times New Roman" w:eastAsia="Times New Roman" w:hAnsi="Times New Roman"/>
          <w:sz w:val="17"/>
          <w:szCs w:val="17"/>
          <w:u w:val="single" w:color="auto"/>
          <w:color w:val="auto"/>
        </w:rPr>
        <w:t>Warrant Share Delivery Date</w:t>
      </w:r>
      <w:r>
        <w:rPr>
          <w:rFonts w:ascii="Times New Roman" w:cs="Times New Roman" w:eastAsia="Times New Roman" w:hAnsi="Times New Roman"/>
          <w:sz w:val="17"/>
          <w:szCs w:val="17"/>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one (1) Trading Day and (ii) the number of Trading Days comprising the Standard Settlement Period, in each case after delivery to the Company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w:t>
      </w:r>
    </w:p>
    <w:p>
      <w:pPr>
        <w:spacing w:after="0" w:line="6" w:lineRule="exact"/>
        <w:rPr>
          <w:sz w:val="20"/>
          <w:szCs w:val="20"/>
          <w:color w:val="auto"/>
        </w:rPr>
      </w:pPr>
    </w:p>
    <w:p>
      <w:pPr>
        <w:ind w:left="1300" w:right="200"/>
        <w:spacing w:after="0" w:line="234" w:lineRule="auto"/>
        <w:rPr>
          <w:sz w:val="20"/>
          <w:szCs w:val="20"/>
          <w:color w:val="auto"/>
        </w:rPr>
      </w:pPr>
      <w:r>
        <w:rPr>
          <w:rFonts w:ascii="Times New Roman" w:cs="Times New Roman" w:eastAsia="Times New Roman" w:hAnsi="Times New Roman"/>
          <w:sz w:val="18"/>
          <w:szCs w:val="18"/>
          <w:color w:val="auto"/>
        </w:rPr>
        <w:t>Notice of Exercise), $10 per Trading Day (increasing to $20 per Trading Day on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w:t>
      </w:r>
    </w:p>
    <w:p>
      <w:pPr>
        <w:spacing w:after="0" w:line="200" w:lineRule="exact"/>
        <w:rPr>
          <w:sz w:val="20"/>
          <w:szCs w:val="20"/>
          <w:color w:val="auto"/>
        </w:rPr>
      </w:pPr>
    </w:p>
    <w:p>
      <w:pPr>
        <w:spacing w:after="0" w:line="21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337" w:right="359" w:bottom="1440" w:gutter="0" w:footer="0" w:header="0"/>
        </w:sectPr>
      </w:pPr>
    </w:p>
    <w:bookmarkStart w:id="7" w:name="page8"/>
    <w:bookmarkEnd w:id="7"/>
    <w:p>
      <w:pPr>
        <w:jc w:val="both"/>
        <w:ind w:left="840" w:right="240" w:firstLine="640"/>
        <w:spacing w:after="0" w:line="261" w:lineRule="auto"/>
        <w:tabs>
          <w:tab w:leader="none" w:pos="167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79" w:lineRule="exact"/>
        <w:rPr>
          <w:rFonts w:ascii="Times New Roman" w:cs="Times New Roman" w:eastAsia="Times New Roman" w:hAnsi="Times New Roman"/>
          <w:sz w:val="18"/>
          <w:szCs w:val="18"/>
          <w:color w:val="auto"/>
        </w:rPr>
      </w:pPr>
    </w:p>
    <w:p>
      <w:pPr>
        <w:ind w:left="840" w:right="280" w:firstLine="640"/>
        <w:spacing w:after="0" w:line="312" w:lineRule="auto"/>
        <w:tabs>
          <w:tab w:leader="none" w:pos="1728"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Rescission Rights</w:t>
      </w:r>
      <w:r>
        <w:rPr>
          <w:rFonts w:ascii="Times New Roman" w:cs="Times New Roman" w:eastAsia="Times New Roman" w:hAnsi="Times New Roman"/>
          <w:sz w:val="17"/>
          <w:szCs w:val="17"/>
          <w:color w:val="auto"/>
        </w:rPr>
        <w:t>. If the Company fails to cause the Transfer Agent to transmit to the Holder the Warrant Shares pursuant to Section 2(d)(i) by the Warrant Share Delivery Date, then the Holder will have the right to rescind such exercise.</w:t>
      </w:r>
    </w:p>
    <w:p>
      <w:pPr>
        <w:spacing w:after="0" w:line="139" w:lineRule="exact"/>
        <w:rPr>
          <w:rFonts w:ascii="Times New Roman" w:cs="Times New Roman" w:eastAsia="Times New Roman" w:hAnsi="Times New Roman"/>
          <w:sz w:val="17"/>
          <w:szCs w:val="17"/>
          <w:color w:val="auto"/>
        </w:rPr>
      </w:pPr>
    </w:p>
    <w:p>
      <w:pPr>
        <w:ind w:left="840" w:firstLine="640"/>
        <w:spacing w:after="0" w:line="251" w:lineRule="auto"/>
        <w:tabs>
          <w:tab w:leader="none" w:pos="170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Warrant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provided, that, for purposes of clarity, under this Clause (B), the Holder shall not be entitled to both (i) require the reinstatement of the portion of the Warrant and the equivalent Warrant Shares for which such exercise was not honored, and (ii) receive the number of shares of Common Stock that would have been issued if the Company had timely complied with its delivery requirements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204" w:lineRule="exact"/>
        <w:rPr>
          <w:rFonts w:ascii="Times New Roman" w:cs="Times New Roman" w:eastAsia="Times New Roman" w:hAnsi="Times New Roman"/>
          <w:sz w:val="18"/>
          <w:szCs w:val="18"/>
          <w:color w:val="auto"/>
        </w:rPr>
      </w:pPr>
    </w:p>
    <w:p>
      <w:pPr>
        <w:ind w:left="840" w:right="160" w:firstLine="640"/>
        <w:spacing w:after="0" w:line="261" w:lineRule="auto"/>
        <w:tabs>
          <w:tab w:leader="none" w:pos="165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39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337" w:right="359" w:bottom="1440" w:gutter="0" w:footer="0" w:header="0"/>
        </w:sectPr>
      </w:pPr>
    </w:p>
    <w:bookmarkStart w:id="8" w:name="page9"/>
    <w:bookmarkEnd w:id="8"/>
    <w:p>
      <w:pPr>
        <w:ind w:left="1304" w:right="20" w:firstLine="640"/>
        <w:spacing w:after="0" w:line="254" w:lineRule="auto"/>
        <w:tabs>
          <w:tab w:leader="none" w:pos="2182"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88" w:lineRule="exact"/>
        <w:rPr>
          <w:rFonts w:ascii="Times New Roman" w:cs="Times New Roman" w:eastAsia="Times New Roman" w:hAnsi="Times New Roman"/>
          <w:sz w:val="18"/>
          <w:szCs w:val="18"/>
          <w:color w:val="auto"/>
        </w:rPr>
      </w:pPr>
    </w:p>
    <w:p>
      <w:pPr>
        <w:ind w:left="1304" w:right="140" w:firstLine="640"/>
        <w:spacing w:after="0" w:line="282" w:lineRule="auto"/>
        <w:tabs>
          <w:tab w:leader="none" w:pos="2232"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161" w:lineRule="exact"/>
        <w:rPr>
          <w:rFonts w:ascii="Times New Roman" w:cs="Times New Roman" w:eastAsia="Times New Roman" w:hAnsi="Times New Roman"/>
          <w:sz w:val="18"/>
          <w:szCs w:val="18"/>
          <w:color w:val="auto"/>
        </w:rPr>
      </w:pPr>
    </w:p>
    <w:p>
      <w:pPr>
        <w:ind w:left="4" w:firstLine="644"/>
        <w:spacing w:after="0" w:line="251" w:lineRule="auto"/>
        <w:tabs>
          <w:tab w:leader="none" w:pos="83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Exercise Limitations</w:t>
      </w:r>
      <w:r>
        <w:rPr>
          <w:rFonts w:ascii="Times New Roman" w:cs="Times New Roman" w:eastAsia="Times New Roman" w:hAnsi="Times New Roman"/>
          <w:sz w:val="18"/>
          <w:szCs w:val="18"/>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w:t>
      </w:r>
    </w:p>
    <w:p>
      <w:pPr>
        <w:spacing w:after="0" w:line="11" w:lineRule="exact"/>
        <w:rPr>
          <w:rFonts w:ascii="Times New Roman" w:cs="Times New Roman" w:eastAsia="Times New Roman" w:hAnsi="Times New Roman"/>
          <w:sz w:val="18"/>
          <w:szCs w:val="18"/>
          <w:color w:val="auto"/>
        </w:rPr>
      </w:pPr>
    </w:p>
    <w:p>
      <w:pPr>
        <w:ind w:left="4" w:right="20" w:hanging="4"/>
        <w:spacing w:after="0" w:line="250" w:lineRule="auto"/>
        <w:tabs>
          <w:tab w:leader="none" w:pos="28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[4.99%/9.99%]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w:t>
      </w:r>
    </w:p>
    <w:p>
      <w:pPr>
        <w:spacing w:after="0" w:line="4" w:lineRule="exact"/>
        <w:rPr>
          <w:sz w:val="20"/>
          <w:szCs w:val="20"/>
          <w:color w:val="auto"/>
        </w:rPr>
      </w:pPr>
    </w:p>
    <w:p>
      <w:pPr>
        <w:ind w:left="4" w:right="100"/>
        <w:spacing w:after="0" w:line="231" w:lineRule="auto"/>
        <w:rPr>
          <w:sz w:val="20"/>
          <w:szCs w:val="20"/>
          <w:color w:val="auto"/>
        </w:rPr>
      </w:pPr>
      <w:r>
        <w:rPr>
          <w:rFonts w:ascii="Times New Roman" w:cs="Times New Roman" w:eastAsia="Times New Roman" w:hAnsi="Times New Roman"/>
          <w:sz w:val="18"/>
          <w:szCs w:val="18"/>
          <w:color w:val="auto"/>
        </w:rPr>
        <w:t>the Beneficial Ownership Limitation will not be effective until the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200" w:lineRule="exact"/>
        <w:rPr>
          <w:sz w:val="20"/>
          <w:szCs w:val="20"/>
          <w:color w:val="auto"/>
        </w:rPr>
      </w:pPr>
    </w:p>
    <w:p>
      <w:pPr>
        <w:spacing w:after="0" w:line="216"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4"/>
        <w:spacing w:after="0" w:line="253" w:lineRule="auto"/>
        <w:tabs>
          <w:tab w:leader="none" w:pos="83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89" w:lineRule="exact"/>
        <w:rPr>
          <w:rFonts w:ascii="Times New Roman" w:cs="Times New Roman" w:eastAsia="Times New Roman" w:hAnsi="Times New Roman"/>
          <w:sz w:val="18"/>
          <w:szCs w:val="18"/>
          <w:color w:val="auto"/>
        </w:rPr>
      </w:pPr>
    </w:p>
    <w:p>
      <w:pPr>
        <w:ind w:right="40" w:firstLine="644"/>
        <w:spacing w:after="0" w:line="253" w:lineRule="auto"/>
        <w:tabs>
          <w:tab w:leader="none" w:pos="84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89" w:lineRule="exact"/>
        <w:rPr>
          <w:rFonts w:ascii="Times New Roman" w:cs="Times New Roman" w:eastAsia="Times New Roman" w:hAnsi="Times New Roman"/>
          <w:sz w:val="18"/>
          <w:szCs w:val="18"/>
          <w:color w:val="auto"/>
        </w:rPr>
      </w:pPr>
    </w:p>
    <w:p>
      <w:pPr>
        <w:ind w:right="40" w:firstLine="644"/>
        <w:spacing w:after="0" w:line="253" w:lineRule="auto"/>
        <w:tabs>
          <w:tab w:leader="none" w:pos="83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200" w:lineRule="exact"/>
        <w:rPr>
          <w:sz w:val="20"/>
          <w:szCs w:val="20"/>
          <w:color w:val="auto"/>
        </w:rPr>
      </w:pPr>
    </w:p>
    <w:p>
      <w:pPr>
        <w:spacing w:after="0" w:line="20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980" w:top="337" w:right="379" w:bottom="1440" w:gutter="0" w:footer="0" w:header="0"/>
        </w:sectPr>
      </w:pPr>
    </w:p>
    <w:bookmarkStart w:id="10" w:name="page11"/>
    <w:bookmarkEnd w:id="10"/>
    <w:p>
      <w:pPr>
        <w:ind w:left="-460" w:firstLine="644"/>
        <w:spacing w:after="0" w:line="251" w:lineRule="auto"/>
        <w:tabs>
          <w:tab w:leader="none" w:pos="38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If, at any time while this Warrant is outstanding, (i) the Company, directly or indirectly, in one or more related transactions effects any merger or consolidation of the Company with or into another Person, (ii) the Company (or all of its Subsidiaries, taken as a whole), directly or indirectly, effects any sale, lease, license, assignment, transfer, conveyance or other disposition of all or substantially all of the assets of the Company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or 50% or more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50% or more of the outstanding shares of Common Stock or 50% or more of the voting power of the common equity of the Company (each a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8"/>
          <w:szCs w:val="18"/>
          <w:u w:val="single" w:color="auto"/>
          <w:color w:val="auto"/>
        </w:rPr>
        <w:t>Alternate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Consideration</w:t>
      </w:r>
      <w:r>
        <w:rPr>
          <w:rFonts w:ascii="Times New Roman" w:cs="Times New Roman" w:eastAsia="Times New Roman" w:hAnsi="Times New Roman"/>
          <w:sz w:val="18"/>
          <w:szCs w:val="18"/>
          <w:color w:val="auto"/>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Warrant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Section 3(d) regardless of (i) whether the Company has sufficient authorized shares of Common Stock for the issuance of Warrant Shares and/or (ii) whether a Fundamental Transaction occurs prior to the Initial Exercise Date.</w:t>
      </w:r>
    </w:p>
    <w:p>
      <w:pPr>
        <w:spacing w:after="0" w:line="200" w:lineRule="exact"/>
        <w:rPr>
          <w:sz w:val="20"/>
          <w:szCs w:val="20"/>
          <w:color w:val="auto"/>
        </w:rPr>
      </w:pPr>
    </w:p>
    <w:p>
      <w:pPr>
        <w:spacing w:after="0" w:line="21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337" w:right="359" w:bottom="1440" w:gutter="0" w:footer="0" w:header="0"/>
        </w:sectPr>
      </w:pPr>
    </w:p>
    <w:bookmarkStart w:id="11" w:name="page12"/>
    <w:bookmarkEnd w:id="11"/>
    <w:p>
      <w:pPr>
        <w:ind w:left="-460" w:firstLine="644"/>
        <w:spacing w:after="0" w:line="266" w:lineRule="auto"/>
        <w:tabs>
          <w:tab w:leader="none" w:pos="37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75" w:lineRule="exact"/>
        <w:rPr>
          <w:rFonts w:ascii="Times New Roman" w:cs="Times New Roman" w:eastAsia="Times New Roman" w:hAnsi="Times New Roman"/>
          <w:sz w:val="18"/>
          <w:szCs w:val="18"/>
          <w:color w:val="auto"/>
        </w:rPr>
      </w:pPr>
    </w:p>
    <w:p>
      <w:pPr>
        <w:ind w:left="340" w:hanging="156"/>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840" w:firstLine="640"/>
        <w:spacing w:after="0" w:line="289" w:lineRule="auto"/>
        <w:tabs>
          <w:tab w:leader="none" w:pos="1628"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 to Exercise Price</w:t>
      </w:r>
      <w:r>
        <w:rPr>
          <w:rFonts w:ascii="Times New Roman" w:cs="Times New Roman" w:eastAsia="Times New Roman" w:hAnsi="Times New Roman"/>
          <w:sz w:val="17"/>
          <w:szCs w:val="17"/>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157" w:lineRule="exact"/>
        <w:rPr>
          <w:rFonts w:ascii="Times New Roman" w:cs="Times New Roman" w:eastAsia="Times New Roman" w:hAnsi="Times New Roman"/>
          <w:sz w:val="17"/>
          <w:szCs w:val="17"/>
          <w:color w:val="auto"/>
        </w:rPr>
      </w:pPr>
    </w:p>
    <w:p>
      <w:pPr>
        <w:ind w:left="840" w:right="40" w:firstLine="640"/>
        <w:spacing w:after="0" w:line="251" w:lineRule="auto"/>
        <w:tabs>
          <w:tab w:leader="none" w:pos="167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200" w:lineRule="exact"/>
        <w:rPr>
          <w:sz w:val="20"/>
          <w:szCs w:val="20"/>
          <w:color w:val="auto"/>
        </w:rPr>
      </w:pPr>
    </w:p>
    <w:p>
      <w:pPr>
        <w:spacing w:after="0" w:line="22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4"/>
        <w:spacing w:after="0" w:line="253" w:lineRule="auto"/>
        <w:tabs>
          <w:tab w:leader="none" w:pos="83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Subject to compliance with any applicable securities laws and the conditions set forth in Section 4(d) hereof and to the provisions of Section 4.1 of the Purchase Agreement,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89" w:lineRule="exact"/>
        <w:rPr>
          <w:rFonts w:ascii="Times New Roman" w:cs="Times New Roman" w:eastAsia="Times New Roman" w:hAnsi="Times New Roman"/>
          <w:sz w:val="18"/>
          <w:szCs w:val="18"/>
          <w:color w:val="auto"/>
        </w:rPr>
      </w:pPr>
    </w:p>
    <w:p>
      <w:pPr>
        <w:ind w:right="60" w:firstLine="644"/>
        <w:spacing w:after="0" w:line="256" w:lineRule="auto"/>
        <w:tabs>
          <w:tab w:leader="none" w:pos="84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spacing w:after="0" w:line="187" w:lineRule="exact"/>
        <w:rPr>
          <w:rFonts w:ascii="Times New Roman" w:cs="Times New Roman" w:eastAsia="Times New Roman" w:hAnsi="Times New Roman"/>
          <w:sz w:val="18"/>
          <w:szCs w:val="18"/>
          <w:color w:val="auto"/>
        </w:rPr>
      </w:pPr>
    </w:p>
    <w:p>
      <w:pPr>
        <w:ind w:left="820" w:hanging="176"/>
        <w:spacing w:after="0"/>
        <w:tabs>
          <w:tab w:leader="none" w:pos="8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w:t>
      </w:r>
    </w:p>
    <w:p>
      <w:pPr>
        <w:spacing w:after="0" w:line="27" w:lineRule="exact"/>
        <w:rPr>
          <w:sz w:val="20"/>
          <w:szCs w:val="20"/>
          <w:color w:val="auto"/>
        </w:rPr>
      </w:pPr>
    </w:p>
    <w:p>
      <w:pPr>
        <w:jc w:val="both"/>
        <w:ind w:right="26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6" w:lineRule="exact"/>
        <w:rPr>
          <w:sz w:val="20"/>
          <w:szCs w:val="20"/>
          <w:color w:val="auto"/>
        </w:rPr>
      </w:pPr>
    </w:p>
    <w:p>
      <w:pPr>
        <w:ind w:right="60" w:firstLine="644"/>
        <w:spacing w:after="0" w:line="258" w:lineRule="auto"/>
        <w:tabs>
          <w:tab w:leader="none" w:pos="84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comply with the provisions of Section 5.7 of the Purchase Agreement.</w:t>
      </w:r>
    </w:p>
    <w:p>
      <w:pPr>
        <w:spacing w:after="0" w:line="39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13" w:name="page14"/>
    <w:bookmarkEnd w:id="13"/>
    <w:p>
      <w:pPr>
        <w:ind w:right="40" w:firstLine="644"/>
        <w:spacing w:after="0" w:line="261" w:lineRule="auto"/>
        <w:tabs>
          <w:tab w:leader="none" w:pos="83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by the Holder</w:t>
      </w:r>
      <w:r>
        <w:rPr>
          <w:rFonts w:ascii="Times New Roman" w:cs="Times New Roman" w:eastAsia="Times New Roman" w:hAnsi="Times New Roman"/>
          <w:sz w:val="18"/>
          <w:szCs w:val="18"/>
          <w:color w:val="auto"/>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4"/>
        <w:spacing w:after="0" w:line="258" w:lineRule="auto"/>
        <w:tabs>
          <w:tab w:leader="none" w:pos="83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spacing w:after="0" w:line="183" w:lineRule="exact"/>
        <w:rPr>
          <w:rFonts w:ascii="Times New Roman" w:cs="Times New Roman" w:eastAsia="Times New Roman" w:hAnsi="Times New Roman"/>
          <w:sz w:val="18"/>
          <w:szCs w:val="18"/>
          <w:color w:val="auto"/>
        </w:rPr>
      </w:pPr>
    </w:p>
    <w:p>
      <w:pPr>
        <w:ind w:right="120" w:firstLine="644"/>
        <w:spacing w:after="0" w:line="258" w:lineRule="auto"/>
        <w:tabs>
          <w:tab w:leader="none" w:pos="84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83" w:lineRule="exact"/>
        <w:rPr>
          <w:rFonts w:ascii="Times New Roman" w:cs="Times New Roman" w:eastAsia="Times New Roman" w:hAnsi="Times New Roman"/>
          <w:sz w:val="18"/>
          <w:szCs w:val="18"/>
          <w:color w:val="auto"/>
        </w:rPr>
      </w:pPr>
    </w:p>
    <w:p>
      <w:pPr>
        <w:jc w:val="both"/>
        <w:ind w:right="320" w:firstLine="644"/>
        <w:spacing w:after="0" w:line="312" w:lineRule="auto"/>
        <w:tabs>
          <w:tab w:leader="none" w:pos="833"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Saturdays, Sundays, Holidays, etc</w:t>
      </w:r>
      <w:r>
        <w:rPr>
          <w:rFonts w:ascii="Times New Roman" w:cs="Times New Roman" w:eastAsia="Times New Roman" w:hAnsi="Times New Roman"/>
          <w:sz w:val="17"/>
          <w:szCs w:val="17"/>
          <w:color w:val="auto"/>
        </w:rPr>
        <w:t>. If the last or appointed day for the taking of any action or the expiration of any right required or granted herein shall not be a Trading Day, then, such action may be taken or such right may be exercised on the next succeeding Trading Day.</w:t>
      </w:r>
    </w:p>
    <w:p>
      <w:pPr>
        <w:spacing w:after="0" w:line="139" w:lineRule="exact"/>
        <w:rPr>
          <w:rFonts w:ascii="Times New Roman" w:cs="Times New Roman" w:eastAsia="Times New Roman" w:hAnsi="Times New Roman"/>
          <w:sz w:val="17"/>
          <w:szCs w:val="17"/>
          <w:color w:val="auto"/>
        </w:rPr>
      </w:pPr>
    </w:p>
    <w:p>
      <w:pPr>
        <w:ind w:left="840" w:hanging="196"/>
        <w:spacing w:after="0"/>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right="20" w:firstLine="1296"/>
        <w:spacing w:after="0" w:line="253" w:lineRule="auto"/>
        <w:rPr>
          <w:sz w:val="20"/>
          <w:szCs w:val="20"/>
          <w:color w:val="auto"/>
        </w:rPr>
      </w:pPr>
      <w:r>
        <w:rPr>
          <w:rFonts w:ascii="Times New Roman" w:cs="Times New Roman" w:eastAsia="Times New Roman" w:hAnsi="Times New Roman"/>
          <w:sz w:val="18"/>
          <w:szCs w:val="18"/>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92" w:lineRule="exact"/>
        <w:rPr>
          <w:sz w:val="20"/>
          <w:szCs w:val="20"/>
          <w:color w:val="auto"/>
        </w:rPr>
      </w:pPr>
    </w:p>
    <w:p>
      <w:pPr>
        <w:ind w:left="640" w:right="100" w:firstLine="648"/>
        <w:spacing w:after="0" w:line="253"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200" w:lineRule="exact"/>
        <w:rPr>
          <w:sz w:val="20"/>
          <w:szCs w:val="20"/>
          <w:color w:val="auto"/>
        </w:rPr>
      </w:pPr>
    </w:p>
    <w:p>
      <w:pPr>
        <w:spacing w:after="0" w:line="21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14" w:name="page15"/>
    <w:bookmarkEnd w:id="14"/>
    <w:p>
      <w:pPr>
        <w:ind w:left="180" w:right="140" w:firstLine="648"/>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ind w:left="-460" w:right="140" w:firstLine="644"/>
        <w:spacing w:after="0" w:line="282" w:lineRule="auto"/>
        <w:tabs>
          <w:tab w:leader="none" w:pos="37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Warrant shall be determined in accordance with the provisions of the Purchase Agreement.</w:t>
      </w:r>
    </w:p>
    <w:p>
      <w:pPr>
        <w:spacing w:after="0" w:line="161" w:lineRule="exact"/>
        <w:rPr>
          <w:rFonts w:ascii="Times New Roman" w:cs="Times New Roman" w:eastAsia="Times New Roman" w:hAnsi="Times New Roman"/>
          <w:sz w:val="18"/>
          <w:szCs w:val="18"/>
          <w:color w:val="auto"/>
        </w:rPr>
      </w:pPr>
    </w:p>
    <w:p>
      <w:pPr>
        <w:ind w:left="-460" w:right="280" w:firstLine="644"/>
        <w:spacing w:after="0" w:line="282" w:lineRule="auto"/>
        <w:tabs>
          <w:tab w:leader="none" w:pos="35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61" w:lineRule="exact"/>
        <w:rPr>
          <w:rFonts w:ascii="Times New Roman" w:cs="Times New Roman" w:eastAsia="Times New Roman" w:hAnsi="Times New Roman"/>
          <w:sz w:val="18"/>
          <w:szCs w:val="18"/>
          <w:color w:val="auto"/>
        </w:rPr>
      </w:pPr>
    </w:p>
    <w:p>
      <w:pPr>
        <w:ind w:left="-460" w:right="140" w:firstLine="644"/>
        <w:spacing w:after="0" w:line="256" w:lineRule="auto"/>
        <w:tabs>
          <w:tab w:leader="none" w:pos="38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and documented attorneys’ fees, including those of appellate proceedings, incurred by the Holder in collecting any amounts due pursuant hereto or in otherwise enforcing any of its rights, powers or remedies hereunder.</w:t>
      </w:r>
    </w:p>
    <w:p>
      <w:pPr>
        <w:spacing w:after="0" w:line="187" w:lineRule="exact"/>
        <w:rPr>
          <w:rFonts w:ascii="Times New Roman" w:cs="Times New Roman" w:eastAsia="Times New Roman" w:hAnsi="Times New Roman"/>
          <w:sz w:val="18"/>
          <w:szCs w:val="18"/>
          <w:color w:val="auto"/>
        </w:rPr>
      </w:pPr>
    </w:p>
    <w:p>
      <w:pPr>
        <w:ind w:left="-460" w:right="180" w:firstLine="644"/>
        <w:spacing w:after="0" w:line="282" w:lineRule="auto"/>
        <w:tabs>
          <w:tab w:leader="none" w:pos="38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or other document required or permitted to be given or delivered to the Holder by the Company shall be delivered in accordance with the notice provisions of the Purchase Agreement.</w:t>
      </w:r>
    </w:p>
    <w:p>
      <w:pPr>
        <w:spacing w:after="0" w:line="161" w:lineRule="exact"/>
        <w:rPr>
          <w:rFonts w:ascii="Times New Roman" w:cs="Times New Roman" w:eastAsia="Times New Roman" w:hAnsi="Times New Roman"/>
          <w:sz w:val="18"/>
          <w:szCs w:val="18"/>
          <w:color w:val="auto"/>
        </w:rPr>
      </w:pPr>
    </w:p>
    <w:p>
      <w:pPr>
        <w:ind w:left="-460" w:right="40" w:firstLine="644"/>
        <w:spacing w:after="0" w:line="261" w:lineRule="auto"/>
        <w:tabs>
          <w:tab w:leader="none" w:pos="34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34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79" w:lineRule="exact"/>
        <w:rPr>
          <w:rFonts w:ascii="Times New Roman" w:cs="Times New Roman" w:eastAsia="Times New Roman" w:hAnsi="Times New Roman"/>
          <w:sz w:val="18"/>
          <w:szCs w:val="18"/>
          <w:color w:val="auto"/>
        </w:rPr>
      </w:pPr>
    </w:p>
    <w:p>
      <w:pPr>
        <w:ind w:left="-460" w:right="80" w:firstLine="644"/>
        <w:spacing w:after="0" w:line="261" w:lineRule="auto"/>
        <w:tabs>
          <w:tab w:leader="none" w:pos="38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79" w:lineRule="exact"/>
        <w:rPr>
          <w:rFonts w:ascii="Times New Roman" w:cs="Times New Roman" w:eastAsia="Times New Roman" w:hAnsi="Times New Roman"/>
          <w:sz w:val="18"/>
          <w:szCs w:val="18"/>
          <w:color w:val="auto"/>
        </w:rPr>
      </w:pPr>
    </w:p>
    <w:p>
      <w:pPr>
        <w:ind w:left="-460" w:right="180" w:firstLine="644"/>
        <w:spacing w:after="0" w:line="282" w:lineRule="auto"/>
        <w:tabs>
          <w:tab w:leader="none" w:pos="34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Other than Section 2(e) and this Section 5(l), this Warrant may be modified or amended or the provisions hereof waived with the written consent of the Company, on the one hand, and the Holder of this Warrant, on the other hand.</w:t>
      </w:r>
    </w:p>
    <w:p>
      <w:pPr>
        <w:spacing w:after="0" w:line="161" w:lineRule="exact"/>
        <w:rPr>
          <w:rFonts w:ascii="Times New Roman" w:cs="Times New Roman" w:eastAsia="Times New Roman" w:hAnsi="Times New Roman"/>
          <w:sz w:val="18"/>
          <w:szCs w:val="18"/>
          <w:color w:val="auto"/>
        </w:rPr>
      </w:pPr>
    </w:p>
    <w:p>
      <w:pPr>
        <w:ind w:left="-460" w:right="40" w:firstLine="644"/>
        <w:spacing w:after="0" w:line="266" w:lineRule="auto"/>
        <w:tabs>
          <w:tab w:leader="none" w:pos="43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75"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38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16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4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5" w:name="page16"/>
    <w:bookmarkEnd w:id="15"/>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Warrant to be executed by its officer thereunto duly authorized as of the date first above indicated.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BLUEJAY DIAGNOSTICS, INC.</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337" w:right="619" w:bottom="1440" w:gutter="0" w:footer="0" w:header="0"/>
        </w:sectPr>
      </w:pPr>
    </w:p>
    <w:bookmarkStart w:id="16" w:name="page17"/>
    <w:bookmarkEnd w:id="16"/>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b w:val="1"/>
          <w:bCs w:val="1"/>
          <w:color w:val="auto"/>
        </w:rPr>
        <w:t>BLUEJAY DIAGNOSTICS, INC.</w:t>
      </w:r>
    </w:p>
    <w:p>
      <w:pPr>
        <w:spacing w:after="0" w:line="229" w:lineRule="exact"/>
        <w:rPr>
          <w:sz w:val="20"/>
          <w:szCs w:val="20"/>
          <w:color w:val="auto"/>
        </w:rPr>
      </w:pPr>
    </w:p>
    <w:p>
      <w:pPr>
        <w:ind w:right="100" w:firstLine="1304"/>
        <w:spacing w:after="0" w:line="282" w:lineRule="auto"/>
        <w:tabs>
          <w:tab w:leader="none" w:pos="154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2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lawful money of the United States; or</w:t>
      </w:r>
    </w:p>
    <w:p>
      <w:pPr>
        <w:spacing w:after="0" w:line="225" w:lineRule="exact"/>
        <w:rPr>
          <w:rFonts w:ascii="MS PGothic" w:cs="MS PGothic" w:eastAsia="MS PGothic" w:hAnsi="MS PGothic"/>
          <w:sz w:val="18"/>
          <w:szCs w:val="18"/>
          <w:color w:val="auto"/>
        </w:rPr>
      </w:pPr>
    </w:p>
    <w:p>
      <w:pPr>
        <w:jc w:val="both"/>
        <w:ind w:left="1960" w:right="180" w:hanging="8"/>
        <w:spacing w:after="0" w:line="266" w:lineRule="auto"/>
        <w:tabs>
          <w:tab w:leader="none" w:pos="2167" w:val="left"/>
        </w:tabs>
        <w:numPr>
          <w:ilvl w:val="1"/>
          <w:numId w:val="2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75" w:lineRule="exact"/>
        <w:rPr>
          <w:rFonts w:ascii="MS PGothic" w:cs="MS PGothic" w:eastAsia="MS PGothic" w:hAnsi="MS PGothic"/>
          <w:sz w:val="18"/>
          <w:szCs w:val="18"/>
          <w:color w:val="auto"/>
        </w:rPr>
      </w:pPr>
    </w:p>
    <w:p>
      <w:pPr>
        <w:ind w:left="1560" w:hanging="256"/>
        <w:spacing w:after="0"/>
        <w:tabs>
          <w:tab w:leader="none" w:pos="1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560" w:hanging="256"/>
        <w:spacing w:after="0"/>
        <w:tabs>
          <w:tab w:leader="none" w:pos="15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Accredited Investor</w:t>
      </w:r>
      <w:r>
        <w:rPr>
          <w:rFonts w:ascii="Times New Roman" w:cs="Times New Roman" w:eastAsia="Times New Roman" w:hAnsi="Times New Roman"/>
          <w:sz w:val="17"/>
          <w:szCs w:val="17"/>
          <w:color w:val="auto"/>
        </w:rPr>
        <w:t>. The undersigned is an “accredited investor” as defined in Regulation D promulgated under the Securities Act of</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1933,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 ________________________________________________________________________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 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333" w:right="45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3" w:lineRule="exact"/>
        <w:rPr>
          <w:sz w:val="20"/>
          <w:szCs w:val="20"/>
          <w:color w:val="auto"/>
        </w:rPr>
      </w:pPr>
    </w:p>
    <w:p>
      <w:pPr>
        <w:ind w:left="200" w:right="200"/>
        <w:spacing w:after="0" w:line="502" w:lineRule="auto"/>
        <w:rPr>
          <w:sz w:val="20"/>
          <w:szCs w:val="20"/>
          <w:color w:val="auto"/>
        </w:rPr>
      </w:pPr>
      <w:r>
        <w:rPr>
          <w:rFonts w:ascii="Times New Roman" w:cs="Times New Roman" w:eastAsia="Times New Roman" w:hAnsi="Times New Roman"/>
          <w:sz w:val="18"/>
          <w:szCs w:val="18"/>
          <w:i w:val="1"/>
          <w:iCs w:val="1"/>
          <w:color w:val="auto"/>
        </w:rPr>
        <w:t xml:space="preserve">(To assign the foregoing Warrant, execute this form and supply required information. Do not use this form to exercise the Warrant to purchase shares.) </w:t>
      </w: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(Please Print)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(Please Print)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 __, 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 w:name="page19"/>
    <w:bookmarkEnd w:id="18"/>
    <w:p>
      <w:pPr>
        <w:ind w:left="10400"/>
        <w:spacing w:after="0"/>
        <w:rPr>
          <w:sz w:val="20"/>
          <w:szCs w:val="20"/>
          <w:color w:val="auto"/>
        </w:rPr>
      </w:pPr>
      <w:r>
        <w:rPr>
          <w:rFonts w:ascii="Times New Roman" w:cs="Times New Roman" w:eastAsia="Times New Roman" w:hAnsi="Times New Roman"/>
          <w:sz w:val="17"/>
          <w:szCs w:val="17"/>
          <w:b w:val="1"/>
          <w:bCs w:val="1"/>
          <w:color w:val="auto"/>
        </w:rPr>
        <w:t>Exhibit 4.2</w:t>
      </w:r>
    </w:p>
    <w:p>
      <w:pPr>
        <w:spacing w:after="0" w:line="24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SERIES G COMMON STOCK PURCHASE WARRANT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BLUEJAY DIAGNOSTICS, INC.</w:t>
      </w:r>
    </w:p>
    <w:p>
      <w:pPr>
        <w:sectPr>
          <w:pgSz w:w="11900" w:h="16838" w:orient="portrait"/>
          <w:cols w:equalWidth="0" w:num="1">
            <w:col w:w="11240"/>
          </w:cols>
          <w:pgMar w:left="320" w:top="117" w:right="3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Warrant Shares: _______</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Issue Date: June 5, 2026</w:t>
      </w:r>
    </w:p>
    <w:p>
      <w:pPr>
        <w:spacing w:after="0" w:line="200" w:lineRule="exact"/>
        <w:rPr>
          <w:sz w:val="20"/>
          <w:szCs w:val="20"/>
          <w:color w:val="auto"/>
        </w:rPr>
      </w:pPr>
    </w:p>
    <w:p>
      <w:pPr>
        <w:sectPr>
          <w:pgSz w:w="11900" w:h="16838" w:orient="portrait"/>
          <w:cols w:equalWidth="0" w:num="2">
            <w:col w:w="7160" w:space="720"/>
            <w:col w:w="3360"/>
          </w:cols>
          <w:pgMar w:left="320" w:top="117" w:right="339" w:bottom="1440" w:gutter="0" w:footer="0" w:header="0"/>
          <w:type w:val="continuous"/>
        </w:sectPr>
      </w:pPr>
    </w:p>
    <w:p>
      <w:pPr>
        <w:spacing w:after="0" w:line="3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7"/>
          <w:szCs w:val="17"/>
          <w:color w:val="auto"/>
        </w:rPr>
        <w:t>Initial Exercise Date: June 5, 2026</w:t>
      </w:r>
    </w:p>
    <w:p>
      <w:pPr>
        <w:sectPr>
          <w:pgSz w:w="11900" w:h="16838" w:orient="portrait"/>
          <w:cols w:equalWidth="0" w:num="1">
            <w:col w:w="11240"/>
          </w:cols>
          <w:pgMar w:left="320" w:top="117" w:right="339" w:bottom="1440" w:gutter="0" w:footer="0" w:header="0"/>
          <w:type w:val="continuous"/>
        </w:sectPr>
      </w:pP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SERIES G COMMON STOCK PURCHASE WARRANT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_____________ or its</w:t>
      </w:r>
    </w:p>
    <w:p>
      <w:pPr>
        <w:spacing w:after="0" w:line="27"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 any time on or after the date set forth above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and on or prior to 5:00 p.m. (New York City time) on the five (5) year anniversary of the Effective Date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but not thereafter, to subscribe for and purchase from Bluejay Diagnostics,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______ shares (as subject to adjustment hereunder,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of the Company’s Common Stock. The purchase price of one share of Common Stock under this Warrant shall be equal to the Exercise Price, as defined in Section 2(b).</w:t>
      </w:r>
    </w:p>
    <w:p>
      <w:pPr>
        <w:spacing w:after="0" w:line="187"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shall have the meanings set forth in that certain Securities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dated June 2, 2026, among the Company and the purchasers signatory thereto.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right="40" w:firstLine="644"/>
        <w:spacing w:after="0" w:line="272" w:lineRule="auto"/>
        <w:tabs>
          <w:tab w:leader="none" w:pos="1493"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of Warrant</w:t>
      </w:r>
      <w:r>
        <w:rPr>
          <w:rFonts w:ascii="Times New Roman" w:cs="Times New Roman" w:eastAsia="Times New Roman" w:hAnsi="Times New Roman"/>
          <w:sz w:val="17"/>
          <w:szCs w:val="17"/>
          <w:color w:val="auto"/>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7"/>
          <w:szCs w:val="17"/>
          <w:u w:val="single" w:color="auto"/>
          <w:color w:val="auto"/>
        </w:rPr>
        <w:t>Notice of Exercise</w:t>
      </w:r>
      <w:r>
        <w:rPr>
          <w:rFonts w:ascii="Times New Roman" w:cs="Times New Roman" w:eastAsia="Times New Roman" w:hAnsi="Times New Roman"/>
          <w:sz w:val="17"/>
          <w:szCs w:val="17"/>
          <w:color w:val="auto"/>
        </w:rPr>
        <w:t>”). Within the earlier of (i) one (1)</w:t>
      </w:r>
    </w:p>
    <w:p>
      <w:pPr>
        <w:spacing w:after="0" w:line="1" w:lineRule="exact"/>
        <w:rPr>
          <w:rFonts w:ascii="Times New Roman" w:cs="Times New Roman" w:eastAsia="Times New Roman" w:hAnsi="Times New Roman"/>
          <w:sz w:val="17"/>
          <w:szCs w:val="17"/>
          <w:color w:val="auto"/>
        </w:rPr>
      </w:pPr>
    </w:p>
    <w:p>
      <w:pPr>
        <w:ind w:left="660" w:right="8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Trading Day and (ii) the number of Trading Days comprising the Standard Settlement Period (as defined in Section 2(d)(i) herein), in each case,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as soon as reasonably practicable, but in no event later than the third Trading Day following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 w:cs="Times New Roman" w:eastAsia="Times New Roman" w:hAnsi="Times New Roman"/>
          <w:sz w:val="18"/>
          <w:szCs w:val="18"/>
          <w:b w:val="1"/>
          <w:bCs w:val="1"/>
          <w:color w:val="auto"/>
        </w:rPr>
        <w:t>The Holder and any assignee, by acceptance of this Warrant, acknowledge and agree that, by reason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provisions of this paragraph, following the purchase of a portion of the Warrant Shares hereunder, the number of Warrant Shares available for purchase hereunder at any given time may be less than the amount stated on the face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9" w:name="page20"/>
    <w:bookmarkEnd w:id="19"/>
    <w:p>
      <w:pPr>
        <w:ind w:firstLine="644"/>
        <w:spacing w:after="0" w:line="286" w:lineRule="auto"/>
        <w:tabs>
          <w:tab w:leader="none" w:pos="84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The exercise price per share of Common Stock under this Warrant shall be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2.075,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ind w:firstLine="644"/>
        <w:spacing w:after="0" w:line="261" w:lineRule="auto"/>
        <w:tabs>
          <w:tab w:leader="none" w:pos="83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If at the time of exercise hereof there is no effective registration statement registering, or the prospectus contained therein is not available for the resale of the Warrant Shares by the Holder, then this Warrant may also be exercised, in whole or in part, at such time by means of a “cashless exercise” in which the Holder shall be entitled to receive a number of Warrant Shares equal to the quotient obtained by dividing [(A-B) (X)] by (A), where:</w:t>
      </w:r>
    </w:p>
    <w:p>
      <w:pPr>
        <w:spacing w:after="0" w:line="180" w:lineRule="exact"/>
        <w:rPr>
          <w:sz w:val="20"/>
          <w:szCs w:val="20"/>
          <w:color w:val="auto"/>
        </w:rPr>
      </w:pPr>
    </w:p>
    <w:p>
      <w:pPr>
        <w:ind w:left="1160" w:right="20" w:hanging="516"/>
        <w:spacing w:after="0" w:line="253" w:lineRule="auto"/>
        <w:tabs>
          <w:tab w:leader="none" w:pos="94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91" w:lineRule="exact"/>
        <w:rPr>
          <w:rFonts w:ascii="Times New Roman" w:cs="Times New Roman" w:eastAsia="Times New Roman" w:hAnsi="Times New Roman"/>
          <w:sz w:val="18"/>
          <w:szCs w:val="18"/>
          <w:color w:val="auto"/>
        </w:rPr>
      </w:pPr>
    </w:p>
    <w:p>
      <w:pPr>
        <w:ind w:left="920" w:hanging="276"/>
        <w:spacing w:after="0"/>
        <w:tabs>
          <w:tab w:leader="none" w:pos="9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of this Warrant, as adjusted hereunder; and</w:t>
      </w:r>
    </w:p>
    <w:p>
      <w:pPr>
        <w:spacing w:after="0" w:line="225" w:lineRule="exact"/>
        <w:rPr>
          <w:sz w:val="20"/>
          <w:szCs w:val="20"/>
          <w:color w:val="auto"/>
        </w:rPr>
      </w:pPr>
    </w:p>
    <w:p>
      <w:pPr>
        <w:ind w:left="1160" w:right="80" w:hanging="516"/>
        <w:spacing w:after="0" w:line="282" w:lineRule="auto"/>
        <w:tabs>
          <w:tab w:leader="none" w:pos="94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162"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the OTCQB Venture Market (the “</w:t>
      </w:r>
      <w:r>
        <w:rPr>
          <w:rFonts w:ascii="Times New Roman" w:cs="Times New Roman" w:eastAsia="Times New Roman" w:hAnsi="Times New Roman"/>
          <w:sz w:val="18"/>
          <w:szCs w:val="18"/>
          <w:u w:val="single" w:color="auto"/>
          <w:color w:val="auto"/>
        </w:rPr>
        <w:t>OTCQB</w:t>
      </w:r>
      <w:r>
        <w:rPr>
          <w:rFonts w:ascii="Times New Roman" w:cs="Times New Roman" w:eastAsia="Times New Roman" w:hAnsi="Times New Roman"/>
          <w:sz w:val="18"/>
          <w:szCs w:val="18"/>
          <w:color w:val="auto"/>
        </w:rPr>
        <w:t>”) or the OTCQX Best Market (the “</w:t>
      </w:r>
      <w:r>
        <w:rPr>
          <w:rFonts w:ascii="Times New Roman" w:cs="Times New Roman" w:eastAsia="Times New Roman" w:hAnsi="Times New Roman"/>
          <w:sz w:val="18"/>
          <w:szCs w:val="18"/>
          <w:u w:val="single" w:color="auto"/>
          <w:color w:val="auto"/>
        </w:rPr>
        <w:t>OTCQX</w:t>
      </w:r>
      <w:r>
        <w:rPr>
          <w:rFonts w:ascii="Times New Roman" w:cs="Times New Roman" w:eastAsia="Times New Roman" w:hAnsi="Times New Roman"/>
          <w:sz w:val="18"/>
          <w:szCs w:val="18"/>
          <w:color w:val="auto"/>
        </w:rPr>
        <w:t>”)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operated by the OTC Markets, Inc. (the “</w:t>
      </w:r>
      <w:r>
        <w:rPr>
          <w:rFonts w:ascii="Times New Roman" w:cs="Times New Roman" w:eastAsia="Times New Roman" w:hAnsi="Times New Roman"/>
          <w:sz w:val="18"/>
          <w:szCs w:val="18"/>
          <w:u w:val="single" w:color="auto"/>
          <w:color w:val="auto"/>
        </w:rPr>
        <w:t>Pink Market</w:t>
      </w:r>
      <w:r>
        <w:rPr>
          <w:rFonts w:ascii="Times New Roman" w:cs="Times New Roman" w:eastAsia="Times New Roman" w:hAnsi="Times New Roman"/>
          <w:sz w:val="18"/>
          <w:szCs w:val="18"/>
          <w:color w:val="auto"/>
        </w:rPr>
        <w: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Securities then outstanding and reasonably acceptable to the Company, the fees and expenses of which shall be paid by the Company.</w:t>
      </w:r>
    </w:p>
    <w:p>
      <w:pPr>
        <w:spacing w:after="0" w:line="200" w:lineRule="exact"/>
        <w:rPr>
          <w:sz w:val="20"/>
          <w:szCs w:val="20"/>
          <w:color w:val="auto"/>
        </w:rPr>
      </w:pPr>
    </w:p>
    <w:p>
      <w:pPr>
        <w:spacing w:after="0" w:line="21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3" w:right="339" w:bottom="1440" w:gutter="0" w:footer="0" w:header="0"/>
        </w:sectPr>
      </w:pPr>
    </w:p>
    <w:bookmarkStart w:id="20" w:name="page21"/>
    <w:bookmarkEnd w:id="20"/>
    <w:p>
      <w:pPr>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the OTCQB or the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Market, the most recent bid price per share of the Common Stock so reported, or (d) in all other cases, the fair market value of a share of Common Stock as determined by an independent appraiser selected in good faith by the Holders of a majority in interest of the Securities then outstanding and reasonably acceptable to the Company, the fees and expenses of which shall be paid by the Company.</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Warrant Shares are issued in such a cashless exercise, the parties acknowledge and agree that in accordance with Section 3(a)(9) of the Securities Act, the holding period of the Warrant Shares being issued may be tacked on to the holding period of this Warrant. The Company agrees not to take any position contrary to this Section 2(c).</w:t>
      </w:r>
    </w:p>
    <w:p>
      <w:pPr>
        <w:spacing w:after="0" w:line="176" w:lineRule="exact"/>
        <w:rPr>
          <w:sz w:val="20"/>
          <w:szCs w:val="20"/>
          <w:color w:val="auto"/>
        </w:rPr>
      </w:pPr>
    </w:p>
    <w:p>
      <w:pPr>
        <w:ind w:left="840" w:hanging="196"/>
        <w:spacing w:after="0"/>
        <w:tabs>
          <w:tab w:leader="none" w:pos="8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right="40" w:firstLine="640"/>
        <w:spacing w:after="0" w:line="266" w:lineRule="auto"/>
        <w:tabs>
          <w:tab w:leader="none" w:pos="2088"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Delivery of Warrant Shares Upon Exercise</w:t>
      </w:r>
      <w:r>
        <w:rPr>
          <w:rFonts w:ascii="Times New Roman" w:cs="Times New Roman" w:eastAsia="Times New Roman" w:hAnsi="Times New Roman"/>
          <w:sz w:val="17"/>
          <w:szCs w:val="17"/>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7"/>
          <w:szCs w:val="17"/>
          <w:u w:val="single" w:color="auto"/>
          <w:color w:val="auto"/>
        </w:rPr>
        <w:t>DWAC</w:t>
      </w:r>
      <w:r>
        <w:rPr>
          <w:rFonts w:ascii="Times New Roman" w:cs="Times New Roman" w:eastAsia="Times New Roman" w:hAnsi="Times New Roman"/>
          <w:sz w:val="17"/>
          <w:szCs w:val="17"/>
          <w:color w:val="auto"/>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the Warrants), and otherwise by book entry credit,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in each case after the delivery to the Company of the Notice of Exercise (such date, the “</w:t>
      </w:r>
      <w:r>
        <w:rPr>
          <w:rFonts w:ascii="Times New Roman" w:cs="Times New Roman" w:eastAsia="Times New Roman" w:hAnsi="Times New Roman"/>
          <w:sz w:val="17"/>
          <w:szCs w:val="17"/>
          <w:u w:val="single" w:color="auto"/>
          <w:color w:val="auto"/>
        </w:rPr>
        <w:t>Warrant Share Delivery Date</w:t>
      </w:r>
      <w:r>
        <w:rPr>
          <w:rFonts w:ascii="Times New Roman" w:cs="Times New Roman" w:eastAsia="Times New Roman" w:hAnsi="Times New Roman"/>
          <w:sz w:val="17"/>
          <w:szCs w:val="17"/>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one (1) Trading Day and (ii) the number of Trading Days comprising the Standard Settlement Period, in each case after delivery to the Company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w:t>
      </w:r>
    </w:p>
    <w:p>
      <w:pPr>
        <w:spacing w:after="0" w:line="6" w:lineRule="exact"/>
        <w:rPr>
          <w:sz w:val="20"/>
          <w:szCs w:val="20"/>
          <w:color w:val="auto"/>
        </w:rPr>
      </w:pPr>
    </w:p>
    <w:p>
      <w:pPr>
        <w:ind w:left="1300" w:right="200"/>
        <w:spacing w:after="0" w:line="234" w:lineRule="auto"/>
        <w:rPr>
          <w:sz w:val="20"/>
          <w:szCs w:val="20"/>
          <w:color w:val="auto"/>
        </w:rPr>
      </w:pPr>
      <w:r>
        <w:rPr>
          <w:rFonts w:ascii="Times New Roman" w:cs="Times New Roman" w:eastAsia="Times New Roman" w:hAnsi="Times New Roman"/>
          <w:sz w:val="18"/>
          <w:szCs w:val="18"/>
          <w:color w:val="auto"/>
        </w:rPr>
        <w:t>Notice of Exercise), $10 per Trading Day (increasing to $20 per Trading Day on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w:t>
      </w:r>
    </w:p>
    <w:p>
      <w:pPr>
        <w:spacing w:after="0" w:line="200" w:lineRule="exact"/>
        <w:rPr>
          <w:sz w:val="20"/>
          <w:szCs w:val="20"/>
          <w:color w:val="auto"/>
        </w:rPr>
      </w:pPr>
    </w:p>
    <w:p>
      <w:pPr>
        <w:spacing w:after="0" w:line="21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337" w:right="359" w:bottom="1440" w:gutter="0" w:footer="0" w:header="0"/>
        </w:sectPr>
      </w:pPr>
    </w:p>
    <w:bookmarkStart w:id="21" w:name="page22"/>
    <w:bookmarkEnd w:id="21"/>
    <w:p>
      <w:pPr>
        <w:jc w:val="both"/>
        <w:ind w:left="840" w:right="240" w:firstLine="640"/>
        <w:spacing w:after="0" w:line="261" w:lineRule="auto"/>
        <w:tabs>
          <w:tab w:leader="none" w:pos="167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79" w:lineRule="exact"/>
        <w:rPr>
          <w:rFonts w:ascii="Times New Roman" w:cs="Times New Roman" w:eastAsia="Times New Roman" w:hAnsi="Times New Roman"/>
          <w:sz w:val="18"/>
          <w:szCs w:val="18"/>
          <w:color w:val="auto"/>
        </w:rPr>
      </w:pPr>
    </w:p>
    <w:p>
      <w:pPr>
        <w:ind w:left="840" w:right="280" w:firstLine="640"/>
        <w:spacing w:after="0" w:line="312" w:lineRule="auto"/>
        <w:tabs>
          <w:tab w:leader="none" w:pos="1728"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Rescission Rights</w:t>
      </w:r>
      <w:r>
        <w:rPr>
          <w:rFonts w:ascii="Times New Roman" w:cs="Times New Roman" w:eastAsia="Times New Roman" w:hAnsi="Times New Roman"/>
          <w:sz w:val="17"/>
          <w:szCs w:val="17"/>
          <w:color w:val="auto"/>
        </w:rPr>
        <w:t>. If the Company fails to cause the Transfer Agent to transmit to the Holder the Warrant Shares pursuant to Section 2(d)(i) by the Warrant Share Delivery Date, then the Holder will have the right to rescind such exercise.</w:t>
      </w:r>
    </w:p>
    <w:p>
      <w:pPr>
        <w:spacing w:after="0" w:line="139" w:lineRule="exact"/>
        <w:rPr>
          <w:rFonts w:ascii="Times New Roman" w:cs="Times New Roman" w:eastAsia="Times New Roman" w:hAnsi="Times New Roman"/>
          <w:sz w:val="17"/>
          <w:szCs w:val="17"/>
          <w:color w:val="auto"/>
        </w:rPr>
      </w:pPr>
    </w:p>
    <w:p>
      <w:pPr>
        <w:ind w:left="840" w:firstLine="640"/>
        <w:spacing w:after="0" w:line="251" w:lineRule="auto"/>
        <w:tabs>
          <w:tab w:leader="none" w:pos="170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Warrant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provided, that, for purposes of clarity, under this Clause (B), the Holder shall not be entitled to both (i) require the reinstatement of the portion of the Warrant and the equivalent Warrant Shares for which such exercise was not honored, and (ii) receive the number of shares of Common Stock that would have been issued if the Company had timely complied with its delivery requirements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200" w:lineRule="exact"/>
        <w:rPr>
          <w:sz w:val="20"/>
          <w:szCs w:val="20"/>
          <w:color w:val="auto"/>
        </w:rPr>
      </w:pPr>
    </w:p>
    <w:p>
      <w:pPr>
        <w:spacing w:after="0" w:line="22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337" w:right="359" w:bottom="1440" w:gutter="0" w:footer="0" w:header="0"/>
        </w:sectPr>
      </w:pPr>
    </w:p>
    <w:bookmarkStart w:id="22" w:name="page23"/>
    <w:bookmarkEnd w:id="22"/>
    <w:p>
      <w:pPr>
        <w:ind w:left="1304" w:right="1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80" w:lineRule="exact"/>
        <w:rPr>
          <w:sz w:val="20"/>
          <w:szCs w:val="20"/>
          <w:color w:val="auto"/>
        </w:rPr>
      </w:pPr>
    </w:p>
    <w:p>
      <w:pPr>
        <w:ind w:left="1304" w:right="20" w:firstLine="640"/>
        <w:spacing w:after="0" w:line="254" w:lineRule="auto"/>
        <w:tabs>
          <w:tab w:leader="none" w:pos="2182"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88" w:lineRule="exact"/>
        <w:rPr>
          <w:rFonts w:ascii="Times New Roman" w:cs="Times New Roman" w:eastAsia="Times New Roman" w:hAnsi="Times New Roman"/>
          <w:sz w:val="18"/>
          <w:szCs w:val="18"/>
          <w:color w:val="auto"/>
        </w:rPr>
      </w:pPr>
    </w:p>
    <w:p>
      <w:pPr>
        <w:ind w:left="1304" w:right="140" w:firstLine="640"/>
        <w:spacing w:after="0" w:line="282" w:lineRule="auto"/>
        <w:tabs>
          <w:tab w:leader="none" w:pos="2232"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161" w:lineRule="exact"/>
        <w:rPr>
          <w:rFonts w:ascii="Times New Roman" w:cs="Times New Roman" w:eastAsia="Times New Roman" w:hAnsi="Times New Roman"/>
          <w:sz w:val="18"/>
          <w:szCs w:val="18"/>
          <w:color w:val="auto"/>
        </w:rPr>
      </w:pPr>
    </w:p>
    <w:p>
      <w:pPr>
        <w:ind w:left="4" w:firstLine="644"/>
        <w:spacing w:after="0" w:line="251" w:lineRule="auto"/>
        <w:tabs>
          <w:tab w:leader="none" w:pos="83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Exercise Limitations</w:t>
      </w:r>
      <w:r>
        <w:rPr>
          <w:rFonts w:ascii="Times New Roman" w:cs="Times New Roman" w:eastAsia="Times New Roman" w:hAnsi="Times New Roman"/>
          <w:sz w:val="18"/>
          <w:szCs w:val="18"/>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w:t>
      </w:r>
    </w:p>
    <w:p>
      <w:pPr>
        <w:spacing w:after="0" w:line="11" w:lineRule="exact"/>
        <w:rPr>
          <w:rFonts w:ascii="Times New Roman" w:cs="Times New Roman" w:eastAsia="Times New Roman" w:hAnsi="Times New Roman"/>
          <w:sz w:val="18"/>
          <w:szCs w:val="18"/>
          <w:color w:val="auto"/>
        </w:rPr>
      </w:pPr>
    </w:p>
    <w:p>
      <w:pPr>
        <w:ind w:left="4" w:right="20" w:hanging="4"/>
        <w:spacing w:after="0" w:line="250" w:lineRule="auto"/>
        <w:tabs>
          <w:tab w:leader="none" w:pos="28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[4.99%/9.99%]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w:t>
      </w:r>
    </w:p>
    <w:p>
      <w:pPr>
        <w:spacing w:after="0" w:line="4" w:lineRule="exact"/>
        <w:rPr>
          <w:sz w:val="20"/>
          <w:szCs w:val="20"/>
          <w:color w:val="auto"/>
        </w:rPr>
      </w:pPr>
    </w:p>
    <w:p>
      <w:pPr>
        <w:ind w:left="4" w:right="100"/>
        <w:spacing w:after="0" w:line="231" w:lineRule="auto"/>
        <w:rPr>
          <w:sz w:val="20"/>
          <w:szCs w:val="20"/>
          <w:color w:val="auto"/>
        </w:rPr>
      </w:pPr>
      <w:r>
        <w:rPr>
          <w:rFonts w:ascii="Times New Roman" w:cs="Times New Roman" w:eastAsia="Times New Roman" w:hAnsi="Times New Roman"/>
          <w:sz w:val="18"/>
          <w:szCs w:val="18"/>
          <w:color w:val="auto"/>
        </w:rPr>
        <w:t>the Beneficial Ownership Limitation will not be effective until the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200" w:lineRule="exact"/>
        <w:rPr>
          <w:sz w:val="20"/>
          <w:szCs w:val="20"/>
          <w:color w:val="auto"/>
        </w:rPr>
      </w:pPr>
    </w:p>
    <w:p>
      <w:pPr>
        <w:spacing w:after="0" w:line="216"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4"/>
        <w:spacing w:after="0" w:line="253" w:lineRule="auto"/>
        <w:tabs>
          <w:tab w:leader="none" w:pos="83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89" w:lineRule="exact"/>
        <w:rPr>
          <w:rFonts w:ascii="Times New Roman" w:cs="Times New Roman" w:eastAsia="Times New Roman" w:hAnsi="Times New Roman"/>
          <w:sz w:val="18"/>
          <w:szCs w:val="18"/>
          <w:color w:val="auto"/>
        </w:rPr>
      </w:pPr>
    </w:p>
    <w:p>
      <w:pPr>
        <w:ind w:right="40" w:firstLine="644"/>
        <w:spacing w:after="0" w:line="253" w:lineRule="auto"/>
        <w:tabs>
          <w:tab w:leader="none" w:pos="84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89" w:lineRule="exact"/>
        <w:rPr>
          <w:rFonts w:ascii="Times New Roman" w:cs="Times New Roman" w:eastAsia="Times New Roman" w:hAnsi="Times New Roman"/>
          <w:sz w:val="18"/>
          <w:szCs w:val="18"/>
          <w:color w:val="auto"/>
        </w:rPr>
      </w:pPr>
    </w:p>
    <w:p>
      <w:pPr>
        <w:ind w:right="40" w:firstLine="644"/>
        <w:spacing w:after="0" w:line="253" w:lineRule="auto"/>
        <w:tabs>
          <w:tab w:leader="none" w:pos="83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200" w:lineRule="exact"/>
        <w:rPr>
          <w:sz w:val="20"/>
          <w:szCs w:val="20"/>
          <w:color w:val="auto"/>
        </w:rPr>
      </w:pPr>
    </w:p>
    <w:p>
      <w:pPr>
        <w:spacing w:after="0" w:line="20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980" w:top="337" w:right="379" w:bottom="1440" w:gutter="0" w:footer="0" w:header="0"/>
        </w:sectPr>
      </w:pPr>
    </w:p>
    <w:bookmarkStart w:id="24" w:name="page25"/>
    <w:bookmarkEnd w:id="24"/>
    <w:p>
      <w:pPr>
        <w:ind w:left="4" w:firstLine="644"/>
        <w:spacing w:after="0" w:line="265" w:lineRule="auto"/>
        <w:tabs>
          <w:tab w:leader="none" w:pos="847"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If, at any time while this Warrant is outstanding, (i) the Company, directly or indirectly, in one or more related transactions effects any merger or consolidation of the Company with or into another Person, (ii) the Company (or all of its Subsidiaries, taken as a whole), directly or indirectly, effects any sale, lease, license, assignment, transfer, conveyance or other disposition of all or substantially all of the assets of the Company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or 50% or more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50% or more of the outstanding shares of Common Stock or 50% or more of the voting power of the common equity of the Company (each a “</w:t>
      </w: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7"/>
          <w:szCs w:val="17"/>
          <w:u w:val="single" w:color="auto"/>
          <w:color w:val="auto"/>
        </w:rPr>
        <w:t>Alternate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Consideration</w:t>
      </w:r>
      <w:r>
        <w:rPr>
          <w:rFonts w:ascii="Times New Roman" w:cs="Times New Roman" w:eastAsia="Times New Roman" w:hAnsi="Times New Roman"/>
          <w:sz w:val="17"/>
          <w:szCs w:val="17"/>
          <w:color w:val="auto"/>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provided, however,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common stock of the Successor Entity (which Entity may be the Company following such Fundamental Transaction) in such Fundamental Transaction. “Black Scholes Value”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the greater of 100% and the 100 day volatility obtained from the HVT function on Bloomberg (determined utilizing a 365 day annualization factor) as of the Trading Day immediately following the public announcement of the applicable contemplated Fundamental Transaction, (C) the underlying price per share used in such calculation shall be the highest VWAP during the period beginning on the Trading Day immediately preceding the public announcement of the applicable contemplated Fundamental Transaction (or the consummation of the applicable Fundamental Transaction, if earlier) and ending on the Trading Day of the Holder’s request pursuant to this Section 3(d) and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five Business Days of the Holder’s election (or, if later, on the effective date of the consummation of the Fundamental Transaction). The Company shall cause any successor entity in a Fundamental Transaction in which the Company is not the survivor (the “Successor Entity”) to assume in writing all of the obligations of the Company under this Warrant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Section 3(d) regardless of (i) whether the Company has sufficient authorized shares of Common Stock for the issuance of Warrant Shares and/or</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76"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 Fundamental Transaction occurs prior to the Initial Exercise Date.</w:t>
      </w:r>
    </w:p>
    <w:p>
      <w:pPr>
        <w:spacing w:after="0" w:line="200" w:lineRule="exact"/>
        <w:rPr>
          <w:sz w:val="20"/>
          <w:szCs w:val="20"/>
          <w:color w:val="auto"/>
        </w:rPr>
      </w:pPr>
    </w:p>
    <w:p>
      <w:pPr>
        <w:spacing w:after="0" w:line="22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337" w:right="359" w:bottom="609" w:gutter="0" w:footer="0" w:header="0"/>
        </w:sectPr>
      </w:pPr>
    </w:p>
    <w:bookmarkStart w:id="25" w:name="page26"/>
    <w:bookmarkEnd w:id="25"/>
    <w:p>
      <w:pPr>
        <w:ind w:left="-460" w:firstLine="644"/>
        <w:spacing w:after="0" w:line="266" w:lineRule="auto"/>
        <w:tabs>
          <w:tab w:leader="none" w:pos="37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75" w:lineRule="exact"/>
        <w:rPr>
          <w:rFonts w:ascii="Times New Roman" w:cs="Times New Roman" w:eastAsia="Times New Roman" w:hAnsi="Times New Roman"/>
          <w:sz w:val="18"/>
          <w:szCs w:val="18"/>
          <w:color w:val="auto"/>
        </w:rPr>
      </w:pPr>
    </w:p>
    <w:p>
      <w:pPr>
        <w:ind w:left="340" w:hanging="156"/>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840" w:firstLine="640"/>
        <w:spacing w:after="0" w:line="289" w:lineRule="auto"/>
        <w:tabs>
          <w:tab w:leader="none" w:pos="1628"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 to Exercise Price</w:t>
      </w:r>
      <w:r>
        <w:rPr>
          <w:rFonts w:ascii="Times New Roman" w:cs="Times New Roman" w:eastAsia="Times New Roman" w:hAnsi="Times New Roman"/>
          <w:sz w:val="17"/>
          <w:szCs w:val="17"/>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157" w:lineRule="exact"/>
        <w:rPr>
          <w:rFonts w:ascii="Times New Roman" w:cs="Times New Roman" w:eastAsia="Times New Roman" w:hAnsi="Times New Roman"/>
          <w:sz w:val="17"/>
          <w:szCs w:val="17"/>
          <w:color w:val="auto"/>
        </w:rPr>
      </w:pPr>
    </w:p>
    <w:p>
      <w:pPr>
        <w:ind w:left="840" w:right="40" w:firstLine="640"/>
        <w:spacing w:after="0" w:line="251" w:lineRule="auto"/>
        <w:tabs>
          <w:tab w:leader="none" w:pos="167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200" w:lineRule="exact"/>
        <w:rPr>
          <w:sz w:val="20"/>
          <w:szCs w:val="20"/>
          <w:color w:val="auto"/>
        </w:rPr>
      </w:pPr>
    </w:p>
    <w:p>
      <w:pPr>
        <w:spacing w:after="0" w:line="22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4"/>
        <w:spacing w:after="0" w:line="253" w:lineRule="auto"/>
        <w:tabs>
          <w:tab w:leader="none" w:pos="83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Subject to compliance with any applicable securities laws and the conditions set forth in Section 4(d) hereof and to the provisions of Section 4.1 of the Purchase Agreement,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89" w:lineRule="exact"/>
        <w:rPr>
          <w:rFonts w:ascii="Times New Roman" w:cs="Times New Roman" w:eastAsia="Times New Roman" w:hAnsi="Times New Roman"/>
          <w:sz w:val="18"/>
          <w:szCs w:val="18"/>
          <w:color w:val="auto"/>
        </w:rPr>
      </w:pPr>
    </w:p>
    <w:p>
      <w:pPr>
        <w:ind w:right="60" w:firstLine="644"/>
        <w:spacing w:after="0" w:line="256" w:lineRule="auto"/>
        <w:tabs>
          <w:tab w:leader="none" w:pos="84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spacing w:after="0" w:line="187" w:lineRule="exact"/>
        <w:rPr>
          <w:rFonts w:ascii="Times New Roman" w:cs="Times New Roman" w:eastAsia="Times New Roman" w:hAnsi="Times New Roman"/>
          <w:sz w:val="18"/>
          <w:szCs w:val="18"/>
          <w:color w:val="auto"/>
        </w:rPr>
      </w:pPr>
    </w:p>
    <w:p>
      <w:pPr>
        <w:ind w:left="820" w:hanging="176"/>
        <w:spacing w:after="0"/>
        <w:tabs>
          <w:tab w:leader="none" w:pos="8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w:t>
      </w:r>
    </w:p>
    <w:p>
      <w:pPr>
        <w:spacing w:after="0" w:line="27" w:lineRule="exact"/>
        <w:rPr>
          <w:sz w:val="20"/>
          <w:szCs w:val="20"/>
          <w:color w:val="auto"/>
        </w:rPr>
      </w:pPr>
    </w:p>
    <w:p>
      <w:pPr>
        <w:jc w:val="both"/>
        <w:ind w:right="26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6" w:lineRule="exact"/>
        <w:rPr>
          <w:sz w:val="20"/>
          <w:szCs w:val="20"/>
          <w:color w:val="auto"/>
        </w:rPr>
      </w:pPr>
    </w:p>
    <w:p>
      <w:pPr>
        <w:ind w:right="60" w:firstLine="644"/>
        <w:spacing w:after="0" w:line="258" w:lineRule="auto"/>
        <w:tabs>
          <w:tab w:leader="none" w:pos="84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comply with the provisions of Section 5.7 of the Purchase Agreement.</w:t>
      </w:r>
    </w:p>
    <w:p>
      <w:pPr>
        <w:spacing w:after="0" w:line="183" w:lineRule="exact"/>
        <w:rPr>
          <w:rFonts w:ascii="Times New Roman" w:cs="Times New Roman" w:eastAsia="Times New Roman" w:hAnsi="Times New Roman"/>
          <w:sz w:val="18"/>
          <w:szCs w:val="18"/>
          <w:color w:val="auto"/>
        </w:rPr>
      </w:pPr>
    </w:p>
    <w:p>
      <w:pPr>
        <w:ind w:right="40" w:firstLine="644"/>
        <w:spacing w:after="0" w:line="261" w:lineRule="auto"/>
        <w:tabs>
          <w:tab w:leader="none" w:pos="83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by the Holder</w:t>
      </w:r>
      <w:r>
        <w:rPr>
          <w:rFonts w:ascii="Times New Roman" w:cs="Times New Roman" w:eastAsia="Times New Roman" w:hAnsi="Times New Roman"/>
          <w:sz w:val="18"/>
          <w:szCs w:val="18"/>
          <w:color w:val="auto"/>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spacing w:after="0" w:line="39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4"/>
        <w:spacing w:after="0" w:line="258" w:lineRule="auto"/>
        <w:tabs>
          <w:tab w:leader="none" w:pos="83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spacing w:after="0" w:line="183" w:lineRule="exact"/>
        <w:rPr>
          <w:rFonts w:ascii="Times New Roman" w:cs="Times New Roman" w:eastAsia="Times New Roman" w:hAnsi="Times New Roman"/>
          <w:sz w:val="18"/>
          <w:szCs w:val="18"/>
          <w:color w:val="auto"/>
        </w:rPr>
      </w:pPr>
    </w:p>
    <w:p>
      <w:pPr>
        <w:ind w:right="120" w:firstLine="644"/>
        <w:spacing w:after="0" w:line="258" w:lineRule="auto"/>
        <w:tabs>
          <w:tab w:leader="none" w:pos="84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83" w:lineRule="exact"/>
        <w:rPr>
          <w:rFonts w:ascii="Times New Roman" w:cs="Times New Roman" w:eastAsia="Times New Roman" w:hAnsi="Times New Roman"/>
          <w:sz w:val="18"/>
          <w:szCs w:val="18"/>
          <w:color w:val="auto"/>
        </w:rPr>
      </w:pPr>
    </w:p>
    <w:p>
      <w:pPr>
        <w:jc w:val="both"/>
        <w:ind w:right="320" w:firstLine="644"/>
        <w:spacing w:after="0" w:line="312" w:lineRule="auto"/>
        <w:tabs>
          <w:tab w:leader="none" w:pos="833"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Saturdays, Sundays, Holidays, etc</w:t>
      </w:r>
      <w:r>
        <w:rPr>
          <w:rFonts w:ascii="Times New Roman" w:cs="Times New Roman" w:eastAsia="Times New Roman" w:hAnsi="Times New Roman"/>
          <w:sz w:val="17"/>
          <w:szCs w:val="17"/>
          <w:color w:val="auto"/>
        </w:rPr>
        <w:t>. If the last or appointed day for the taking of any action or the expiration of any right required or granted herein shall not be a Trading Day, then, such action may be taken or such right may be exercised on the next succeeding Trading Day.</w:t>
      </w:r>
    </w:p>
    <w:p>
      <w:pPr>
        <w:spacing w:after="0" w:line="139" w:lineRule="exact"/>
        <w:rPr>
          <w:rFonts w:ascii="Times New Roman" w:cs="Times New Roman" w:eastAsia="Times New Roman" w:hAnsi="Times New Roman"/>
          <w:sz w:val="17"/>
          <w:szCs w:val="17"/>
          <w:color w:val="auto"/>
        </w:rPr>
      </w:pPr>
    </w:p>
    <w:p>
      <w:pPr>
        <w:ind w:left="840" w:hanging="196"/>
        <w:spacing w:after="0"/>
        <w:tabs>
          <w:tab w:leader="none" w:pos="8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right="20" w:firstLine="1296"/>
        <w:spacing w:after="0" w:line="253" w:lineRule="auto"/>
        <w:rPr>
          <w:sz w:val="20"/>
          <w:szCs w:val="20"/>
          <w:color w:val="auto"/>
        </w:rPr>
      </w:pPr>
      <w:r>
        <w:rPr>
          <w:rFonts w:ascii="Times New Roman" w:cs="Times New Roman" w:eastAsia="Times New Roman" w:hAnsi="Times New Roman"/>
          <w:sz w:val="18"/>
          <w:szCs w:val="18"/>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200" w:lineRule="exact"/>
        <w:rPr>
          <w:sz w:val="20"/>
          <w:szCs w:val="20"/>
          <w:color w:val="auto"/>
        </w:rPr>
      </w:pPr>
    </w:p>
    <w:p>
      <w:pPr>
        <w:spacing w:after="0" w:line="20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28" w:name="page29"/>
    <w:bookmarkEnd w:id="28"/>
    <w:p>
      <w:pPr>
        <w:ind w:left="180" w:right="40" w:firstLine="648"/>
        <w:spacing w:after="0" w:line="253"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94" w:lineRule="exact"/>
        <w:rPr>
          <w:sz w:val="20"/>
          <w:szCs w:val="20"/>
          <w:color w:val="auto"/>
        </w:rPr>
      </w:pPr>
    </w:p>
    <w:p>
      <w:pPr>
        <w:ind w:left="180" w:right="80" w:firstLine="648"/>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ind w:left="-460" w:right="80" w:firstLine="644"/>
        <w:spacing w:after="0" w:line="282" w:lineRule="auto"/>
        <w:tabs>
          <w:tab w:leader="none" w:pos="37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Warrant shall be determined in accordance with the provisions of the Purchase Agreement.</w:t>
      </w:r>
    </w:p>
    <w:p>
      <w:pPr>
        <w:spacing w:after="0" w:line="161" w:lineRule="exact"/>
        <w:rPr>
          <w:rFonts w:ascii="Times New Roman" w:cs="Times New Roman" w:eastAsia="Times New Roman" w:hAnsi="Times New Roman"/>
          <w:sz w:val="18"/>
          <w:szCs w:val="18"/>
          <w:color w:val="auto"/>
        </w:rPr>
      </w:pPr>
    </w:p>
    <w:p>
      <w:pPr>
        <w:ind w:left="-460" w:right="220" w:firstLine="644"/>
        <w:spacing w:after="0" w:line="282" w:lineRule="auto"/>
        <w:tabs>
          <w:tab w:leader="none" w:pos="35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61" w:lineRule="exact"/>
        <w:rPr>
          <w:rFonts w:ascii="Times New Roman" w:cs="Times New Roman" w:eastAsia="Times New Roman" w:hAnsi="Times New Roman"/>
          <w:sz w:val="18"/>
          <w:szCs w:val="18"/>
          <w:color w:val="auto"/>
        </w:rPr>
      </w:pPr>
    </w:p>
    <w:p>
      <w:pPr>
        <w:ind w:left="-460" w:firstLine="644"/>
        <w:spacing w:after="0" w:line="255" w:lineRule="auto"/>
        <w:tabs>
          <w:tab w:leader="none" w:pos="38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notwithstanding the fact that the right to exercise this Warrant terminates on the Termination Date.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and documented attorneys’ fees, including those of appellate proceedings, incurred by the Holder in collecting any amounts due pursuant hereto or in otherwise enforcing any of its rights, powers or remedies hereunder.</w:t>
      </w:r>
    </w:p>
    <w:p>
      <w:pPr>
        <w:spacing w:after="0" w:line="188" w:lineRule="exact"/>
        <w:rPr>
          <w:rFonts w:ascii="Times New Roman" w:cs="Times New Roman" w:eastAsia="Times New Roman" w:hAnsi="Times New Roman"/>
          <w:sz w:val="18"/>
          <w:szCs w:val="18"/>
          <w:color w:val="auto"/>
        </w:rPr>
      </w:pPr>
    </w:p>
    <w:p>
      <w:pPr>
        <w:ind w:left="-460" w:right="120" w:firstLine="644"/>
        <w:spacing w:after="0" w:line="282" w:lineRule="auto"/>
        <w:tabs>
          <w:tab w:leader="none" w:pos="38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or other document required or permitted to be given or delivered to the Holder by the Company shall be delivered in accordance with the notice provisions of the Purchase Agreement.</w:t>
      </w:r>
    </w:p>
    <w:p>
      <w:pPr>
        <w:spacing w:after="0" w:line="37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60"/>
          </w:cols>
          <w:pgMar w:left="1440" w:top="337" w:right="399" w:bottom="1440" w:gutter="0" w:footer="0" w:header="0"/>
        </w:sectPr>
      </w:pPr>
    </w:p>
    <w:bookmarkStart w:id="29" w:name="page30"/>
    <w:bookmarkEnd w:id="29"/>
    <w:p>
      <w:pPr>
        <w:ind w:left="-460" w:right="40" w:firstLine="644"/>
        <w:spacing w:after="0" w:line="261" w:lineRule="auto"/>
        <w:tabs>
          <w:tab w:leader="none" w:pos="34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34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79" w:lineRule="exact"/>
        <w:rPr>
          <w:rFonts w:ascii="Times New Roman" w:cs="Times New Roman" w:eastAsia="Times New Roman" w:hAnsi="Times New Roman"/>
          <w:sz w:val="18"/>
          <w:szCs w:val="18"/>
          <w:color w:val="auto"/>
        </w:rPr>
      </w:pPr>
    </w:p>
    <w:p>
      <w:pPr>
        <w:ind w:left="-460" w:right="80" w:firstLine="644"/>
        <w:spacing w:after="0" w:line="261" w:lineRule="auto"/>
        <w:tabs>
          <w:tab w:leader="none" w:pos="38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79" w:lineRule="exact"/>
        <w:rPr>
          <w:rFonts w:ascii="Times New Roman" w:cs="Times New Roman" w:eastAsia="Times New Roman" w:hAnsi="Times New Roman"/>
          <w:sz w:val="18"/>
          <w:szCs w:val="18"/>
          <w:color w:val="auto"/>
        </w:rPr>
      </w:pPr>
    </w:p>
    <w:p>
      <w:pPr>
        <w:ind w:left="-460" w:right="180" w:firstLine="644"/>
        <w:spacing w:after="0" w:line="282" w:lineRule="auto"/>
        <w:tabs>
          <w:tab w:leader="none" w:pos="34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Other than Section 2(e) and this Section 5(l), this Warrant may be modified or amended or the provisions hereof waived with the written consent of the Company, on the one hand, and the Holder of this Warrant, on the other hand.</w:t>
      </w:r>
    </w:p>
    <w:p>
      <w:pPr>
        <w:spacing w:after="0" w:line="161" w:lineRule="exact"/>
        <w:rPr>
          <w:rFonts w:ascii="Times New Roman" w:cs="Times New Roman" w:eastAsia="Times New Roman" w:hAnsi="Times New Roman"/>
          <w:sz w:val="18"/>
          <w:szCs w:val="18"/>
          <w:color w:val="auto"/>
        </w:rPr>
      </w:pPr>
    </w:p>
    <w:p>
      <w:pPr>
        <w:ind w:left="-460" w:right="40" w:firstLine="644"/>
        <w:spacing w:after="0" w:line="266" w:lineRule="auto"/>
        <w:tabs>
          <w:tab w:leader="none" w:pos="43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75"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38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16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4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30" w:name="page31"/>
    <w:bookmarkEnd w:id="30"/>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Warrant to be executed by its officer thereunto duly authorized as of the date first above indicated.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BLUEJAY DIAGNOSTICS, INC.</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337" w:right="619" w:bottom="1440" w:gutter="0" w:footer="0" w:header="0"/>
        </w:sectPr>
      </w:pPr>
    </w:p>
    <w:bookmarkStart w:id="31" w:name="page32"/>
    <w:bookmarkEnd w:id="31"/>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b w:val="1"/>
          <w:bCs w:val="1"/>
          <w:color w:val="auto"/>
        </w:rPr>
        <w:t>BLUEJAY DIAGNOSTICS, INC.</w:t>
      </w:r>
    </w:p>
    <w:p>
      <w:pPr>
        <w:spacing w:after="0" w:line="229" w:lineRule="exact"/>
        <w:rPr>
          <w:sz w:val="20"/>
          <w:szCs w:val="20"/>
          <w:color w:val="auto"/>
        </w:rPr>
      </w:pPr>
    </w:p>
    <w:p>
      <w:pPr>
        <w:ind w:right="100" w:firstLine="1304"/>
        <w:spacing w:after="0" w:line="282" w:lineRule="auto"/>
        <w:tabs>
          <w:tab w:leader="none" w:pos="154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4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lawful money of the United States; or</w:t>
      </w:r>
    </w:p>
    <w:p>
      <w:pPr>
        <w:spacing w:after="0" w:line="225" w:lineRule="exact"/>
        <w:rPr>
          <w:rFonts w:ascii="MS PGothic" w:cs="MS PGothic" w:eastAsia="MS PGothic" w:hAnsi="MS PGothic"/>
          <w:sz w:val="18"/>
          <w:szCs w:val="18"/>
          <w:color w:val="auto"/>
        </w:rPr>
      </w:pPr>
    </w:p>
    <w:p>
      <w:pPr>
        <w:jc w:val="both"/>
        <w:ind w:left="1960" w:right="180" w:hanging="8"/>
        <w:spacing w:after="0" w:line="266" w:lineRule="auto"/>
        <w:tabs>
          <w:tab w:leader="none" w:pos="2167" w:val="left"/>
        </w:tabs>
        <w:numPr>
          <w:ilvl w:val="1"/>
          <w:numId w:val="4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75" w:lineRule="exact"/>
        <w:rPr>
          <w:rFonts w:ascii="MS PGothic" w:cs="MS PGothic" w:eastAsia="MS PGothic" w:hAnsi="MS PGothic"/>
          <w:sz w:val="18"/>
          <w:szCs w:val="18"/>
          <w:color w:val="auto"/>
        </w:rPr>
      </w:pPr>
    </w:p>
    <w:p>
      <w:pPr>
        <w:ind w:left="1560" w:hanging="256"/>
        <w:spacing w:after="0"/>
        <w:tabs>
          <w:tab w:leader="none" w:pos="15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560" w:hanging="256"/>
        <w:spacing w:after="0"/>
        <w:tabs>
          <w:tab w:leader="none" w:pos="156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Accredited Investor</w:t>
      </w:r>
      <w:r>
        <w:rPr>
          <w:rFonts w:ascii="Times New Roman" w:cs="Times New Roman" w:eastAsia="Times New Roman" w:hAnsi="Times New Roman"/>
          <w:sz w:val="17"/>
          <w:szCs w:val="17"/>
          <w:color w:val="auto"/>
        </w:rPr>
        <w:t>. The undersigned is an “accredited investor” as defined in Regulation D promulgated under the Securities Act of</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1933,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 ________________________________________________________________________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 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333" w:right="45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3" w:lineRule="exact"/>
        <w:rPr>
          <w:sz w:val="20"/>
          <w:szCs w:val="20"/>
          <w:color w:val="auto"/>
        </w:rPr>
      </w:pPr>
    </w:p>
    <w:p>
      <w:pPr>
        <w:ind w:right="200" w:firstLine="189"/>
        <w:spacing w:after="0" w:line="610" w:lineRule="auto"/>
        <w:rPr>
          <w:sz w:val="20"/>
          <w:szCs w:val="20"/>
          <w:color w:val="auto"/>
        </w:rPr>
      </w:pPr>
      <w:r>
        <w:rPr>
          <w:rFonts w:ascii="Times New Roman" w:cs="Times New Roman" w:eastAsia="Times New Roman" w:hAnsi="Times New Roman"/>
          <w:sz w:val="18"/>
          <w:szCs w:val="18"/>
          <w:i w:val="1"/>
          <w:iCs w:val="1"/>
          <w:color w:val="auto"/>
        </w:rPr>
        <w:t xml:space="preserve">(To assign the foregoing Warrant, execute this form and supply required information. Do not use this form to exercise the Warrant to purchase shares.) </w:t>
      </w:r>
      <w:r>
        <w:rPr>
          <w:rFonts w:ascii="Times New Roman" w:cs="Times New Roman" w:eastAsia="Times New Roman" w:hAnsi="Times New Roman"/>
          <w:sz w:val="18"/>
          <w:szCs w:val="18"/>
          <w:color w:val="auto"/>
        </w:rPr>
        <w:t>FOR VALUE RECEIVED, the foregoing Warrant and all rights evidenced thereby are hereby assigned to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30480</wp:posOffset>
            </wp:positionV>
            <wp:extent cx="35661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(Please Print)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(Please Print)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 __, 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3" w:name="page34"/>
    <w:bookmarkEnd w:id="33"/>
    <w:p>
      <w:pPr>
        <w:ind w:left="10400"/>
        <w:spacing w:after="0"/>
        <w:rPr>
          <w:sz w:val="20"/>
          <w:szCs w:val="20"/>
          <w:color w:val="auto"/>
        </w:rPr>
      </w:pPr>
      <w:r>
        <w:rPr>
          <w:rFonts w:ascii="Times New Roman" w:cs="Times New Roman" w:eastAsia="Times New Roman" w:hAnsi="Times New Roman"/>
          <w:sz w:val="17"/>
          <w:szCs w:val="17"/>
          <w:b w:val="1"/>
          <w:bCs w:val="1"/>
          <w:color w:val="auto"/>
        </w:rPr>
        <w:t>Exhibit 4.3</w:t>
      </w:r>
    </w:p>
    <w:p>
      <w:pPr>
        <w:spacing w:after="0" w:line="24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SERIES H COMMON STOCK PURCHASE WARRANT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BLUEJAY DIAGNOSTICS, INC.</w:t>
      </w:r>
    </w:p>
    <w:p>
      <w:pPr>
        <w:sectPr>
          <w:pgSz w:w="11900" w:h="16838" w:orient="portrait"/>
          <w:cols w:equalWidth="0" w:num="1">
            <w:col w:w="11240"/>
          </w:cols>
          <w:pgMar w:left="320" w:top="117" w:right="3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Warrant Shares: _______</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Issue Date: June 5, 2026</w:t>
      </w:r>
    </w:p>
    <w:p>
      <w:pPr>
        <w:spacing w:after="0" w:line="200" w:lineRule="exact"/>
        <w:rPr>
          <w:sz w:val="20"/>
          <w:szCs w:val="20"/>
          <w:color w:val="auto"/>
        </w:rPr>
      </w:pPr>
    </w:p>
    <w:p>
      <w:pPr>
        <w:sectPr>
          <w:pgSz w:w="11900" w:h="16838" w:orient="portrait"/>
          <w:cols w:equalWidth="0" w:num="2">
            <w:col w:w="7160" w:space="720"/>
            <w:col w:w="3360"/>
          </w:cols>
          <w:pgMar w:left="320" w:top="117" w:right="339" w:bottom="1440" w:gutter="0" w:footer="0" w:header="0"/>
          <w:type w:val="continuous"/>
        </w:sectPr>
      </w:pPr>
    </w:p>
    <w:p>
      <w:pPr>
        <w:spacing w:after="0" w:line="3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7"/>
          <w:szCs w:val="17"/>
          <w:color w:val="auto"/>
        </w:rPr>
        <w:t>Initial Exercise Date: June 5, 2026</w:t>
      </w:r>
    </w:p>
    <w:p>
      <w:pPr>
        <w:sectPr>
          <w:pgSz w:w="11900" w:h="16838" w:orient="portrait"/>
          <w:cols w:equalWidth="0" w:num="1">
            <w:col w:w="11240"/>
          </w:cols>
          <w:pgMar w:left="320" w:top="117" w:right="339" w:bottom="1440" w:gutter="0" w:footer="0" w:header="0"/>
          <w:type w:val="continuous"/>
        </w:sectPr>
      </w:pPr>
    </w:p>
    <w:p>
      <w:pPr>
        <w:spacing w:after="0" w:line="23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SERIES H COMMON STOCK PURCHASE WARRANT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_____________ or 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 any time on or after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date set forth above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and on or prior to 5:00 p.m. (New York City time) on the twenty-four month anniversary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Date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but not thereafter, to subscribe for and purchase from Bluejay Diagnostics, Inc., a Delaware corporation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up to ______ shares (as subject to adjustment hereunder, the “</w:t>
      </w:r>
      <w:r>
        <w:rPr>
          <w:rFonts w:ascii="Times New Roman" w:cs="Times New Roman" w:eastAsia="Times New Roman" w:hAnsi="Times New Roman"/>
          <w:sz w:val="17"/>
          <w:szCs w:val="17"/>
          <w:u w:val="single" w:color="auto"/>
          <w:color w:val="auto"/>
        </w:rPr>
        <w:t>Warrant Shares</w:t>
      </w:r>
      <w:r>
        <w:rPr>
          <w:rFonts w:ascii="Times New Roman" w:cs="Times New Roman" w:eastAsia="Times New Roman" w:hAnsi="Times New Roman"/>
          <w:sz w:val="17"/>
          <w:szCs w:val="17"/>
          <w:color w:val="auto"/>
        </w:rPr>
        <w:t>”) of the Company’s Common Stock. The purchase price of one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of Common Stock under this Warrant shall be equal to the Exercise Price, as defined in Section 2(b).</w:t>
      </w:r>
    </w:p>
    <w:p>
      <w:pPr>
        <w:spacing w:after="0" w:line="207"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shall have the meanings set forth in that certain Securities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dated June 2, 2026, among the Company and the purchasers signatory thereto.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right="40" w:firstLine="644"/>
        <w:spacing w:after="0" w:line="272" w:lineRule="auto"/>
        <w:tabs>
          <w:tab w:leader="none" w:pos="1493"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of Warrant</w:t>
      </w:r>
      <w:r>
        <w:rPr>
          <w:rFonts w:ascii="Times New Roman" w:cs="Times New Roman" w:eastAsia="Times New Roman" w:hAnsi="Times New Roman"/>
          <w:sz w:val="17"/>
          <w:szCs w:val="17"/>
          <w:color w:val="auto"/>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7"/>
          <w:szCs w:val="17"/>
          <w:u w:val="single" w:color="auto"/>
          <w:color w:val="auto"/>
        </w:rPr>
        <w:t>Notice of Exercise</w:t>
      </w:r>
      <w:r>
        <w:rPr>
          <w:rFonts w:ascii="Times New Roman" w:cs="Times New Roman" w:eastAsia="Times New Roman" w:hAnsi="Times New Roman"/>
          <w:sz w:val="17"/>
          <w:szCs w:val="17"/>
          <w:color w:val="auto"/>
        </w:rPr>
        <w:t>”). Within the earlier of (i) one (1)</w:t>
      </w:r>
    </w:p>
    <w:p>
      <w:pPr>
        <w:spacing w:after="0" w:line="1" w:lineRule="exact"/>
        <w:rPr>
          <w:rFonts w:ascii="Times New Roman" w:cs="Times New Roman" w:eastAsia="Times New Roman" w:hAnsi="Times New Roman"/>
          <w:sz w:val="17"/>
          <w:szCs w:val="17"/>
          <w:color w:val="auto"/>
        </w:rPr>
      </w:pPr>
    </w:p>
    <w:p>
      <w:pPr>
        <w:ind w:left="660" w:right="8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Trading Day and (ii) the number of Trading Days comprising the Standard Settlement Period (as defined in Section 2(d)(i) herein), in each case,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as soon as reasonably practicable, but in no event later than the third Trading Day following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 w:cs="Times New Roman" w:eastAsia="Times New Roman" w:hAnsi="Times New Roman"/>
          <w:sz w:val="18"/>
          <w:szCs w:val="18"/>
          <w:b w:val="1"/>
          <w:bCs w:val="1"/>
          <w:color w:val="auto"/>
        </w:rPr>
        <w:t>The Holder and any assignee, by acceptance of this Warrant, acknowledge and agree that, by reason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provisions of this paragraph, following the purchase of a portion of the Warrant Shares hereunder, the number of Warrant Shares available for purchase hereunder at any given time may be less than the amount stated on the face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4" w:name="page35"/>
    <w:bookmarkEnd w:id="34"/>
    <w:p>
      <w:pPr>
        <w:ind w:firstLine="644"/>
        <w:spacing w:after="0" w:line="286" w:lineRule="auto"/>
        <w:tabs>
          <w:tab w:leader="none" w:pos="84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The exercise price per share of Common Stock under this Warrant shall be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2.075,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ind w:firstLine="644"/>
        <w:spacing w:after="0" w:line="261" w:lineRule="auto"/>
        <w:tabs>
          <w:tab w:leader="none" w:pos="83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If at the time of exercise hereof there is no effective registration statement registering, or the prospectus contained therein is not available for the resale of the Warrant Shares by the Holder, then this Warrant may also be exercised, in whole or in part, at such time by means of a “cashless exercise” in which the Holder shall be entitled to receive a number of Warrant Shares equal to the quotient obtained by dividing [(A-B) (X)] by (A), where:</w:t>
      </w:r>
    </w:p>
    <w:p>
      <w:pPr>
        <w:spacing w:after="0" w:line="180" w:lineRule="exact"/>
        <w:rPr>
          <w:sz w:val="20"/>
          <w:szCs w:val="20"/>
          <w:color w:val="auto"/>
        </w:rPr>
      </w:pPr>
    </w:p>
    <w:p>
      <w:pPr>
        <w:ind w:left="1160" w:right="20" w:hanging="516"/>
        <w:spacing w:after="0" w:line="253" w:lineRule="auto"/>
        <w:tabs>
          <w:tab w:leader="none" w:pos="94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91" w:lineRule="exact"/>
        <w:rPr>
          <w:rFonts w:ascii="Times New Roman" w:cs="Times New Roman" w:eastAsia="Times New Roman" w:hAnsi="Times New Roman"/>
          <w:sz w:val="18"/>
          <w:szCs w:val="18"/>
          <w:color w:val="auto"/>
        </w:rPr>
      </w:pPr>
    </w:p>
    <w:p>
      <w:pPr>
        <w:ind w:left="920" w:hanging="276"/>
        <w:spacing w:after="0"/>
        <w:tabs>
          <w:tab w:leader="none" w:pos="9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of this Warrant, as adjusted hereunder; and</w:t>
      </w:r>
    </w:p>
    <w:p>
      <w:pPr>
        <w:spacing w:after="0" w:line="225" w:lineRule="exact"/>
        <w:rPr>
          <w:sz w:val="20"/>
          <w:szCs w:val="20"/>
          <w:color w:val="auto"/>
        </w:rPr>
      </w:pPr>
    </w:p>
    <w:p>
      <w:pPr>
        <w:ind w:left="1160" w:right="80" w:hanging="516"/>
        <w:spacing w:after="0" w:line="282" w:lineRule="auto"/>
        <w:tabs>
          <w:tab w:leader="none" w:pos="94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162"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the OTCQB Venture Market (the “</w:t>
      </w:r>
      <w:r>
        <w:rPr>
          <w:rFonts w:ascii="Times New Roman" w:cs="Times New Roman" w:eastAsia="Times New Roman" w:hAnsi="Times New Roman"/>
          <w:sz w:val="18"/>
          <w:szCs w:val="18"/>
          <w:u w:val="single" w:color="auto"/>
          <w:color w:val="auto"/>
        </w:rPr>
        <w:t>OTCQB</w:t>
      </w:r>
      <w:r>
        <w:rPr>
          <w:rFonts w:ascii="Times New Roman" w:cs="Times New Roman" w:eastAsia="Times New Roman" w:hAnsi="Times New Roman"/>
          <w:sz w:val="18"/>
          <w:szCs w:val="18"/>
          <w:color w:val="auto"/>
        </w:rPr>
        <w:t>”) or the OTCQX Best Market (the “</w:t>
      </w:r>
      <w:r>
        <w:rPr>
          <w:rFonts w:ascii="Times New Roman" w:cs="Times New Roman" w:eastAsia="Times New Roman" w:hAnsi="Times New Roman"/>
          <w:sz w:val="18"/>
          <w:szCs w:val="18"/>
          <w:u w:val="single" w:color="auto"/>
          <w:color w:val="auto"/>
        </w:rPr>
        <w:t>OTCQX</w:t>
      </w:r>
      <w:r>
        <w:rPr>
          <w:rFonts w:ascii="Times New Roman" w:cs="Times New Roman" w:eastAsia="Times New Roman" w:hAnsi="Times New Roman"/>
          <w:sz w:val="18"/>
          <w:szCs w:val="18"/>
          <w:color w:val="auto"/>
        </w:rPr>
        <w:t>”)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operated by the OTC Markets, Inc. (the “</w:t>
      </w:r>
      <w:r>
        <w:rPr>
          <w:rFonts w:ascii="Times New Roman" w:cs="Times New Roman" w:eastAsia="Times New Roman" w:hAnsi="Times New Roman"/>
          <w:sz w:val="18"/>
          <w:szCs w:val="18"/>
          <w:u w:val="single" w:color="auto"/>
          <w:color w:val="auto"/>
        </w:rPr>
        <w:t>Pink Market</w:t>
      </w:r>
      <w:r>
        <w:rPr>
          <w:rFonts w:ascii="Times New Roman" w:cs="Times New Roman" w:eastAsia="Times New Roman" w:hAnsi="Times New Roman"/>
          <w:sz w:val="18"/>
          <w:szCs w:val="18"/>
          <w:color w:val="auto"/>
        </w:rPr>
        <w: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Securities then outstanding and reasonably acceptable to the Company, the fees and expenses of which shall be paid by the Company.</w:t>
      </w:r>
    </w:p>
    <w:p>
      <w:pPr>
        <w:spacing w:after="0" w:line="200" w:lineRule="exact"/>
        <w:rPr>
          <w:sz w:val="20"/>
          <w:szCs w:val="20"/>
          <w:color w:val="auto"/>
        </w:rPr>
      </w:pPr>
    </w:p>
    <w:p>
      <w:pPr>
        <w:spacing w:after="0" w:line="21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3" w:right="339" w:bottom="1440" w:gutter="0" w:footer="0" w:header="0"/>
        </w:sectPr>
      </w:pPr>
    </w:p>
    <w:bookmarkStart w:id="35" w:name="page36"/>
    <w:bookmarkEnd w:id="35"/>
    <w:p>
      <w:pPr>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the OTCQB or the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Market, the most recent bid price per share of the Common Stock so reported, or (d) in all other cases, the fair market value of a share of Common Stock as determined by an independent appraiser selected in good faith by the Holders of a majority in interest of the Securities then outstanding and reasonably acceptable to the Company, the fees and expenses of which shall be paid by the Company.</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Warrant Shares are issued in such a cashless exercise, the parties acknowledge and agree that in accordance with Section 3(a)(9) of the Securities Act, the holding period of the Warrant Shares being issued may be tacked on to the holding period of this Warrant. The Company agrees not to take any position contrary to this Section 2(c).</w:t>
      </w:r>
    </w:p>
    <w:p>
      <w:pPr>
        <w:spacing w:after="0" w:line="176" w:lineRule="exact"/>
        <w:rPr>
          <w:sz w:val="20"/>
          <w:szCs w:val="20"/>
          <w:color w:val="auto"/>
        </w:rPr>
      </w:pPr>
    </w:p>
    <w:p>
      <w:pPr>
        <w:ind w:left="840" w:hanging="196"/>
        <w:spacing w:after="0"/>
        <w:tabs>
          <w:tab w:leader="none" w:pos="8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right="40" w:firstLine="640"/>
        <w:spacing w:after="0" w:line="266" w:lineRule="auto"/>
        <w:tabs>
          <w:tab w:leader="none" w:pos="2088"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Delivery of Warrant Shares Upon Exercise</w:t>
      </w:r>
      <w:r>
        <w:rPr>
          <w:rFonts w:ascii="Times New Roman" w:cs="Times New Roman" w:eastAsia="Times New Roman" w:hAnsi="Times New Roman"/>
          <w:sz w:val="17"/>
          <w:szCs w:val="17"/>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7"/>
          <w:szCs w:val="17"/>
          <w:u w:val="single" w:color="auto"/>
          <w:color w:val="auto"/>
        </w:rPr>
        <w:t>DWAC</w:t>
      </w:r>
      <w:r>
        <w:rPr>
          <w:rFonts w:ascii="Times New Roman" w:cs="Times New Roman" w:eastAsia="Times New Roman" w:hAnsi="Times New Roman"/>
          <w:sz w:val="17"/>
          <w:szCs w:val="17"/>
          <w:color w:val="auto"/>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the Warrants), and otherwise by book entry credit,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in each case after the delivery to the Company of the Notice of Exercise (such date, the “</w:t>
      </w:r>
      <w:r>
        <w:rPr>
          <w:rFonts w:ascii="Times New Roman" w:cs="Times New Roman" w:eastAsia="Times New Roman" w:hAnsi="Times New Roman"/>
          <w:sz w:val="17"/>
          <w:szCs w:val="17"/>
          <w:u w:val="single" w:color="auto"/>
          <w:color w:val="auto"/>
        </w:rPr>
        <w:t>Warrant Share Delivery Date</w:t>
      </w:r>
      <w:r>
        <w:rPr>
          <w:rFonts w:ascii="Times New Roman" w:cs="Times New Roman" w:eastAsia="Times New Roman" w:hAnsi="Times New Roman"/>
          <w:sz w:val="17"/>
          <w:szCs w:val="17"/>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one (1) Trading Day and (ii) the number of Trading Days comprising the Standard Settlement Period, in each case after delivery to the Company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w:t>
      </w:r>
    </w:p>
    <w:p>
      <w:pPr>
        <w:spacing w:after="0" w:line="6" w:lineRule="exact"/>
        <w:rPr>
          <w:sz w:val="20"/>
          <w:szCs w:val="20"/>
          <w:color w:val="auto"/>
        </w:rPr>
      </w:pPr>
    </w:p>
    <w:p>
      <w:pPr>
        <w:ind w:left="1300" w:right="200"/>
        <w:spacing w:after="0" w:line="234" w:lineRule="auto"/>
        <w:rPr>
          <w:sz w:val="20"/>
          <w:szCs w:val="20"/>
          <w:color w:val="auto"/>
        </w:rPr>
      </w:pPr>
      <w:r>
        <w:rPr>
          <w:rFonts w:ascii="Times New Roman" w:cs="Times New Roman" w:eastAsia="Times New Roman" w:hAnsi="Times New Roman"/>
          <w:sz w:val="18"/>
          <w:szCs w:val="18"/>
          <w:color w:val="auto"/>
        </w:rPr>
        <w:t>Notice of Exercise), $10 per Trading Day (increasing to $20 per Trading Day on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w:t>
      </w:r>
    </w:p>
    <w:p>
      <w:pPr>
        <w:spacing w:after="0" w:line="200" w:lineRule="exact"/>
        <w:rPr>
          <w:sz w:val="20"/>
          <w:szCs w:val="20"/>
          <w:color w:val="auto"/>
        </w:rPr>
      </w:pPr>
    </w:p>
    <w:p>
      <w:pPr>
        <w:spacing w:after="0" w:line="21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337" w:right="359" w:bottom="1440" w:gutter="0" w:footer="0" w:header="0"/>
        </w:sectPr>
      </w:pPr>
    </w:p>
    <w:bookmarkStart w:id="36" w:name="page37"/>
    <w:bookmarkEnd w:id="36"/>
    <w:p>
      <w:pPr>
        <w:jc w:val="both"/>
        <w:ind w:left="840" w:right="240" w:firstLine="640"/>
        <w:spacing w:after="0" w:line="261" w:lineRule="auto"/>
        <w:tabs>
          <w:tab w:leader="none" w:pos="167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79" w:lineRule="exact"/>
        <w:rPr>
          <w:rFonts w:ascii="Times New Roman" w:cs="Times New Roman" w:eastAsia="Times New Roman" w:hAnsi="Times New Roman"/>
          <w:sz w:val="18"/>
          <w:szCs w:val="18"/>
          <w:color w:val="auto"/>
        </w:rPr>
      </w:pPr>
    </w:p>
    <w:p>
      <w:pPr>
        <w:ind w:left="840" w:right="280" w:firstLine="640"/>
        <w:spacing w:after="0" w:line="312" w:lineRule="auto"/>
        <w:tabs>
          <w:tab w:leader="none" w:pos="1728"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Rescission Rights</w:t>
      </w:r>
      <w:r>
        <w:rPr>
          <w:rFonts w:ascii="Times New Roman" w:cs="Times New Roman" w:eastAsia="Times New Roman" w:hAnsi="Times New Roman"/>
          <w:sz w:val="17"/>
          <w:szCs w:val="17"/>
          <w:color w:val="auto"/>
        </w:rPr>
        <w:t>. If the Company fails to cause the Transfer Agent to transmit to the Holder the Warrant Shares pursuant to Section 2(d)(i) by the Warrant Share Delivery Date, then the Holder will have the right to rescind such exercise.</w:t>
      </w:r>
    </w:p>
    <w:p>
      <w:pPr>
        <w:spacing w:after="0" w:line="139" w:lineRule="exact"/>
        <w:rPr>
          <w:rFonts w:ascii="Times New Roman" w:cs="Times New Roman" w:eastAsia="Times New Roman" w:hAnsi="Times New Roman"/>
          <w:sz w:val="17"/>
          <w:szCs w:val="17"/>
          <w:color w:val="auto"/>
        </w:rPr>
      </w:pPr>
    </w:p>
    <w:p>
      <w:pPr>
        <w:ind w:left="840" w:firstLine="640"/>
        <w:spacing w:after="0" w:line="251" w:lineRule="auto"/>
        <w:tabs>
          <w:tab w:leader="none" w:pos="170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Warrant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provided, that, for purposes of clarity, under this Clause (B), the Holder shall not be entitled to both (i) require the reinstatement of the portion of the Warrant and the equivalent Warrant Shares for which such exercise was not honored, and (ii) receive the number of shares of Common Stock that would have been issued if the Company had timely complied with its delivery requirements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200" w:lineRule="exact"/>
        <w:rPr>
          <w:sz w:val="20"/>
          <w:szCs w:val="20"/>
          <w:color w:val="auto"/>
        </w:rPr>
      </w:pPr>
    </w:p>
    <w:p>
      <w:pPr>
        <w:spacing w:after="0" w:line="22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337" w:right="359" w:bottom="1440" w:gutter="0" w:footer="0" w:header="0"/>
        </w:sectPr>
      </w:pPr>
    </w:p>
    <w:bookmarkStart w:id="37" w:name="page38"/>
    <w:bookmarkEnd w:id="37"/>
    <w:p>
      <w:pPr>
        <w:ind w:left="1304" w:right="1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80" w:lineRule="exact"/>
        <w:rPr>
          <w:sz w:val="20"/>
          <w:szCs w:val="20"/>
          <w:color w:val="auto"/>
        </w:rPr>
      </w:pPr>
    </w:p>
    <w:p>
      <w:pPr>
        <w:ind w:left="1304" w:right="20" w:firstLine="640"/>
        <w:spacing w:after="0" w:line="254" w:lineRule="auto"/>
        <w:tabs>
          <w:tab w:leader="none" w:pos="2182"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88" w:lineRule="exact"/>
        <w:rPr>
          <w:rFonts w:ascii="Times New Roman" w:cs="Times New Roman" w:eastAsia="Times New Roman" w:hAnsi="Times New Roman"/>
          <w:sz w:val="18"/>
          <w:szCs w:val="18"/>
          <w:color w:val="auto"/>
        </w:rPr>
      </w:pPr>
    </w:p>
    <w:p>
      <w:pPr>
        <w:ind w:left="1304" w:right="140" w:firstLine="640"/>
        <w:spacing w:after="0" w:line="282" w:lineRule="auto"/>
        <w:tabs>
          <w:tab w:leader="none" w:pos="2232" w:val="left"/>
        </w:tabs>
        <w:numPr>
          <w:ilvl w:val="2"/>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161" w:lineRule="exact"/>
        <w:rPr>
          <w:rFonts w:ascii="Times New Roman" w:cs="Times New Roman" w:eastAsia="Times New Roman" w:hAnsi="Times New Roman"/>
          <w:sz w:val="18"/>
          <w:szCs w:val="18"/>
          <w:color w:val="auto"/>
        </w:rPr>
      </w:pPr>
    </w:p>
    <w:p>
      <w:pPr>
        <w:ind w:left="4" w:firstLine="644"/>
        <w:spacing w:after="0" w:line="251" w:lineRule="auto"/>
        <w:tabs>
          <w:tab w:leader="none" w:pos="837"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Exercise Limitations</w:t>
      </w:r>
      <w:r>
        <w:rPr>
          <w:rFonts w:ascii="Times New Roman" w:cs="Times New Roman" w:eastAsia="Times New Roman" w:hAnsi="Times New Roman"/>
          <w:sz w:val="18"/>
          <w:szCs w:val="18"/>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w:t>
      </w:r>
    </w:p>
    <w:p>
      <w:pPr>
        <w:spacing w:after="0" w:line="11" w:lineRule="exact"/>
        <w:rPr>
          <w:rFonts w:ascii="Times New Roman" w:cs="Times New Roman" w:eastAsia="Times New Roman" w:hAnsi="Times New Roman"/>
          <w:sz w:val="18"/>
          <w:szCs w:val="18"/>
          <w:color w:val="auto"/>
        </w:rPr>
      </w:pPr>
    </w:p>
    <w:p>
      <w:pPr>
        <w:ind w:left="4" w:right="20" w:hanging="4"/>
        <w:spacing w:after="0" w:line="250" w:lineRule="auto"/>
        <w:tabs>
          <w:tab w:leader="none" w:pos="28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[4.99%/9.99%]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w:t>
      </w:r>
    </w:p>
    <w:p>
      <w:pPr>
        <w:spacing w:after="0" w:line="4" w:lineRule="exact"/>
        <w:rPr>
          <w:sz w:val="20"/>
          <w:szCs w:val="20"/>
          <w:color w:val="auto"/>
        </w:rPr>
      </w:pPr>
    </w:p>
    <w:p>
      <w:pPr>
        <w:ind w:left="4" w:right="100"/>
        <w:spacing w:after="0" w:line="231" w:lineRule="auto"/>
        <w:rPr>
          <w:sz w:val="20"/>
          <w:szCs w:val="20"/>
          <w:color w:val="auto"/>
        </w:rPr>
      </w:pPr>
      <w:r>
        <w:rPr>
          <w:rFonts w:ascii="Times New Roman" w:cs="Times New Roman" w:eastAsia="Times New Roman" w:hAnsi="Times New Roman"/>
          <w:sz w:val="18"/>
          <w:szCs w:val="18"/>
          <w:color w:val="auto"/>
        </w:rPr>
        <w:t>the Beneficial Ownership Limitation will not be effective until the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200" w:lineRule="exact"/>
        <w:rPr>
          <w:sz w:val="20"/>
          <w:szCs w:val="20"/>
          <w:color w:val="auto"/>
        </w:rPr>
      </w:pPr>
    </w:p>
    <w:p>
      <w:pPr>
        <w:spacing w:after="0" w:line="216"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4"/>
        <w:spacing w:after="0" w:line="253" w:lineRule="auto"/>
        <w:tabs>
          <w:tab w:leader="none" w:pos="83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89" w:lineRule="exact"/>
        <w:rPr>
          <w:rFonts w:ascii="Times New Roman" w:cs="Times New Roman" w:eastAsia="Times New Roman" w:hAnsi="Times New Roman"/>
          <w:sz w:val="18"/>
          <w:szCs w:val="18"/>
          <w:color w:val="auto"/>
        </w:rPr>
      </w:pPr>
    </w:p>
    <w:p>
      <w:pPr>
        <w:ind w:right="40" w:firstLine="644"/>
        <w:spacing w:after="0" w:line="253" w:lineRule="auto"/>
        <w:tabs>
          <w:tab w:leader="none" w:pos="84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89" w:lineRule="exact"/>
        <w:rPr>
          <w:rFonts w:ascii="Times New Roman" w:cs="Times New Roman" w:eastAsia="Times New Roman" w:hAnsi="Times New Roman"/>
          <w:sz w:val="18"/>
          <w:szCs w:val="18"/>
          <w:color w:val="auto"/>
        </w:rPr>
      </w:pPr>
    </w:p>
    <w:p>
      <w:pPr>
        <w:ind w:right="40" w:firstLine="644"/>
        <w:spacing w:after="0" w:line="253" w:lineRule="auto"/>
        <w:tabs>
          <w:tab w:leader="none" w:pos="833"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200" w:lineRule="exact"/>
        <w:rPr>
          <w:sz w:val="20"/>
          <w:szCs w:val="20"/>
          <w:color w:val="auto"/>
        </w:rPr>
      </w:pPr>
    </w:p>
    <w:p>
      <w:pPr>
        <w:spacing w:after="0" w:line="20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980" w:top="337" w:right="379" w:bottom="1440" w:gutter="0" w:footer="0" w:header="0"/>
        </w:sectPr>
      </w:pPr>
    </w:p>
    <w:bookmarkStart w:id="39" w:name="page40"/>
    <w:bookmarkEnd w:id="39"/>
    <w:p>
      <w:pPr>
        <w:ind w:left="4" w:firstLine="644"/>
        <w:spacing w:after="0" w:line="265" w:lineRule="auto"/>
        <w:tabs>
          <w:tab w:leader="none" w:pos="847"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If, at any time while this Warrant is outstanding, (i) the Company, directly or indirectly, in one or more related transactions effects any merger or consolidation of the Company with or into another Person, (ii) the Company (or all of its Subsidiaries, taken as a whole), directly or indirectly, effects any sale, lease, license, assignment, transfer, conveyance or other disposition of all or substantially all of the assets of the Company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or 50% or more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50% or more of the outstanding shares of Common Stock or 50% or more of the voting power of the common equity of the Company (each a “</w:t>
      </w: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7"/>
          <w:szCs w:val="17"/>
          <w:u w:val="single" w:color="auto"/>
          <w:color w:val="auto"/>
        </w:rPr>
        <w:t>Alternate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Consideration</w:t>
      </w:r>
      <w:r>
        <w:rPr>
          <w:rFonts w:ascii="Times New Roman" w:cs="Times New Roman" w:eastAsia="Times New Roman" w:hAnsi="Times New Roman"/>
          <w:sz w:val="17"/>
          <w:szCs w:val="17"/>
          <w:color w:val="auto"/>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provided, however,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common stock of the Successor Entity (which Entity may be the Company following such Fundamental Transaction) in such Fundamental Transaction. “Black Scholes Value”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the greater of 100% and the 100 day volatility obtained from the HVT function on Bloomberg (determined utilizing a 365 day annualization factor) as of the Trading Day immediately following the public announcement of the applicable contemplated Fundamental Transaction, (C) the underlying price per share used in such calculation shall be the highest VWAP during the period beginning on the Trading Day immediately preceding the public announcement of the applicable contemplated Fundamental Transaction (or the consummation of the applicable Fundamental Transaction, if earlier) and ending on the Trading Day of the Holder’s request pursuant to this Section 3(d) and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five Business Days of the Holder’s election (or, if later, on the effective date of the consummation of the Fundamental Transaction). The Company shall cause any successor entity in a Fundamental Transaction in which the Company is not the survivor (the “Successor Entity”) to assume in writing all of the obligations of the Company under this Warrant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Section 3(d) regardless of (i) whether the Company has sufficient authorized shares of Common Stock for the issuance of Warrant Shares and/or</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76"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 Fundamental Transaction occurs prior to the Initial Exercise Date.</w:t>
      </w:r>
    </w:p>
    <w:p>
      <w:pPr>
        <w:spacing w:after="0" w:line="200" w:lineRule="exact"/>
        <w:rPr>
          <w:sz w:val="20"/>
          <w:szCs w:val="20"/>
          <w:color w:val="auto"/>
        </w:rPr>
      </w:pPr>
    </w:p>
    <w:p>
      <w:pPr>
        <w:spacing w:after="0" w:line="22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337" w:right="359" w:bottom="609" w:gutter="0" w:footer="0" w:header="0"/>
        </w:sectPr>
      </w:pPr>
    </w:p>
    <w:bookmarkStart w:id="40" w:name="page41"/>
    <w:bookmarkEnd w:id="40"/>
    <w:p>
      <w:pPr>
        <w:ind w:firstLine="644"/>
        <w:spacing w:after="0" w:line="266" w:lineRule="auto"/>
        <w:tabs>
          <w:tab w:leader="none" w:pos="83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75" w:lineRule="exact"/>
        <w:rPr>
          <w:rFonts w:ascii="Times New Roman" w:cs="Times New Roman" w:eastAsia="Times New Roman" w:hAnsi="Times New Roman"/>
          <w:sz w:val="18"/>
          <w:szCs w:val="18"/>
          <w:color w:val="auto"/>
        </w:rPr>
      </w:pPr>
    </w:p>
    <w:p>
      <w:pPr>
        <w:ind w:left="800" w:hanging="156"/>
        <w:spacing w:after="0"/>
        <w:tabs>
          <w:tab w:leader="none" w:pos="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firstLine="640"/>
        <w:spacing w:after="0" w:line="289" w:lineRule="auto"/>
        <w:tabs>
          <w:tab w:leader="none" w:pos="2088"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 to Exercise Price</w:t>
      </w:r>
      <w:r>
        <w:rPr>
          <w:rFonts w:ascii="Times New Roman" w:cs="Times New Roman" w:eastAsia="Times New Roman" w:hAnsi="Times New Roman"/>
          <w:sz w:val="17"/>
          <w:szCs w:val="17"/>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157" w:lineRule="exact"/>
        <w:rPr>
          <w:rFonts w:ascii="Times New Roman" w:cs="Times New Roman" w:eastAsia="Times New Roman" w:hAnsi="Times New Roman"/>
          <w:sz w:val="17"/>
          <w:szCs w:val="17"/>
          <w:color w:val="auto"/>
        </w:rPr>
      </w:pPr>
    </w:p>
    <w:p>
      <w:pPr>
        <w:ind w:left="1300" w:right="40" w:firstLine="640"/>
        <w:spacing w:after="0" w:line="251" w:lineRule="auto"/>
        <w:tabs>
          <w:tab w:leader="none" w:pos="2138"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4"/>
        <w:spacing w:after="0" w:line="253" w:lineRule="auto"/>
        <w:tabs>
          <w:tab w:leader="none" w:pos="833"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Subject to compliance with any applicable securities laws and the conditions set forth in Section 4(d) hereof and to the provisions of Section 4.1 of the Purchase Agreement,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200" w:lineRule="exact"/>
        <w:rPr>
          <w:sz w:val="20"/>
          <w:szCs w:val="20"/>
          <w:color w:val="auto"/>
        </w:rPr>
      </w:pPr>
    </w:p>
    <w:p>
      <w:pPr>
        <w:spacing w:after="0" w:line="20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41" w:name="page42"/>
    <w:bookmarkEnd w:id="41"/>
    <w:p>
      <w:pPr>
        <w:ind w:right="60" w:firstLine="644"/>
        <w:spacing w:after="0" w:line="256" w:lineRule="auto"/>
        <w:tabs>
          <w:tab w:leader="none" w:pos="843"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spacing w:after="0" w:line="187" w:lineRule="exact"/>
        <w:rPr>
          <w:rFonts w:ascii="Times New Roman" w:cs="Times New Roman" w:eastAsia="Times New Roman" w:hAnsi="Times New Roman"/>
          <w:sz w:val="18"/>
          <w:szCs w:val="18"/>
          <w:color w:val="auto"/>
        </w:rPr>
      </w:pPr>
    </w:p>
    <w:p>
      <w:pPr>
        <w:ind w:left="820" w:hanging="176"/>
        <w:spacing w:after="0"/>
        <w:tabs>
          <w:tab w:leader="none" w:pos="8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w:t>
      </w:r>
    </w:p>
    <w:p>
      <w:pPr>
        <w:spacing w:after="0" w:line="27" w:lineRule="exact"/>
        <w:rPr>
          <w:sz w:val="20"/>
          <w:szCs w:val="20"/>
          <w:color w:val="auto"/>
        </w:rPr>
      </w:pPr>
    </w:p>
    <w:p>
      <w:pPr>
        <w:jc w:val="both"/>
        <w:ind w:right="26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6" w:lineRule="exact"/>
        <w:rPr>
          <w:sz w:val="20"/>
          <w:szCs w:val="20"/>
          <w:color w:val="auto"/>
        </w:rPr>
      </w:pPr>
    </w:p>
    <w:p>
      <w:pPr>
        <w:ind w:right="60" w:firstLine="644"/>
        <w:spacing w:after="0" w:line="258" w:lineRule="auto"/>
        <w:tabs>
          <w:tab w:leader="none" w:pos="84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comply with the provisions of Section 5.7 of the Purchase Agreement.</w:t>
      </w:r>
    </w:p>
    <w:p>
      <w:pPr>
        <w:spacing w:after="0" w:line="183" w:lineRule="exact"/>
        <w:rPr>
          <w:rFonts w:ascii="Times New Roman" w:cs="Times New Roman" w:eastAsia="Times New Roman" w:hAnsi="Times New Roman"/>
          <w:sz w:val="18"/>
          <w:szCs w:val="18"/>
          <w:color w:val="auto"/>
        </w:rPr>
      </w:pPr>
    </w:p>
    <w:p>
      <w:pPr>
        <w:ind w:right="40" w:firstLine="644"/>
        <w:spacing w:after="0" w:line="261" w:lineRule="auto"/>
        <w:tabs>
          <w:tab w:leader="none" w:pos="83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by the Holder</w:t>
      </w:r>
      <w:r>
        <w:rPr>
          <w:rFonts w:ascii="Times New Roman" w:cs="Times New Roman" w:eastAsia="Times New Roman" w:hAnsi="Times New Roman"/>
          <w:sz w:val="18"/>
          <w:szCs w:val="18"/>
          <w:color w:val="auto"/>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4"/>
        <w:spacing w:after="0" w:line="258" w:lineRule="auto"/>
        <w:tabs>
          <w:tab w:leader="none" w:pos="83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spacing w:after="0" w:line="39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42" w:name="page43"/>
    <w:bookmarkEnd w:id="42"/>
    <w:p>
      <w:pPr>
        <w:ind w:left="-460" w:right="100" w:firstLine="644"/>
        <w:spacing w:after="0" w:line="258" w:lineRule="auto"/>
        <w:tabs>
          <w:tab w:leader="none" w:pos="38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83" w:lineRule="exact"/>
        <w:rPr>
          <w:rFonts w:ascii="Times New Roman" w:cs="Times New Roman" w:eastAsia="Times New Roman" w:hAnsi="Times New Roman"/>
          <w:sz w:val="18"/>
          <w:szCs w:val="18"/>
          <w:color w:val="auto"/>
        </w:rPr>
      </w:pPr>
    </w:p>
    <w:p>
      <w:pPr>
        <w:jc w:val="both"/>
        <w:ind w:left="-460" w:right="300" w:firstLine="644"/>
        <w:spacing w:after="0" w:line="312" w:lineRule="auto"/>
        <w:tabs>
          <w:tab w:leader="none" w:pos="373"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Saturdays, Sundays, Holidays, etc</w:t>
      </w:r>
      <w:r>
        <w:rPr>
          <w:rFonts w:ascii="Times New Roman" w:cs="Times New Roman" w:eastAsia="Times New Roman" w:hAnsi="Times New Roman"/>
          <w:sz w:val="17"/>
          <w:szCs w:val="17"/>
          <w:color w:val="auto"/>
        </w:rPr>
        <w:t>. If the last or appointed day for the taking of any action or the expiration of any right required or granted herein shall not be a Trading Day, then, such action may be taken or such right may be exercised on the next succeeding Trading Day.</w:t>
      </w:r>
    </w:p>
    <w:p>
      <w:pPr>
        <w:spacing w:after="0" w:line="139" w:lineRule="exact"/>
        <w:rPr>
          <w:rFonts w:ascii="Times New Roman" w:cs="Times New Roman" w:eastAsia="Times New Roman" w:hAnsi="Times New Roman"/>
          <w:sz w:val="17"/>
          <w:szCs w:val="17"/>
          <w:color w:val="auto"/>
        </w:rPr>
      </w:pPr>
    </w:p>
    <w:p>
      <w:pPr>
        <w:ind w:left="380" w:hanging="196"/>
        <w:spacing w:after="0"/>
        <w:tabs>
          <w:tab w:leader="none" w:pos="3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80" w:firstLine="1296"/>
        <w:spacing w:after="0" w:line="253" w:lineRule="auto"/>
        <w:rPr>
          <w:sz w:val="20"/>
          <w:szCs w:val="20"/>
          <w:color w:val="auto"/>
        </w:rPr>
      </w:pPr>
      <w:r>
        <w:rPr>
          <w:rFonts w:ascii="Times New Roman" w:cs="Times New Roman" w:eastAsia="Times New Roman" w:hAnsi="Times New Roman"/>
          <w:sz w:val="18"/>
          <w:szCs w:val="18"/>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92" w:lineRule="exact"/>
        <w:rPr>
          <w:sz w:val="20"/>
          <w:szCs w:val="20"/>
          <w:color w:val="auto"/>
        </w:rPr>
      </w:pPr>
    </w:p>
    <w:p>
      <w:pPr>
        <w:ind w:left="180" w:right="80" w:firstLine="648"/>
        <w:spacing w:after="0" w:line="253"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94" w:lineRule="exact"/>
        <w:rPr>
          <w:sz w:val="20"/>
          <w:szCs w:val="20"/>
          <w:color w:val="auto"/>
        </w:rPr>
      </w:pPr>
    </w:p>
    <w:p>
      <w:pPr>
        <w:ind w:left="180" w:right="120" w:firstLine="648"/>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39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337" w:right="359" w:bottom="1440" w:gutter="0" w:footer="0" w:header="0"/>
        </w:sectPr>
      </w:pPr>
    </w:p>
    <w:bookmarkStart w:id="43" w:name="page44"/>
    <w:bookmarkEnd w:id="43"/>
    <w:p>
      <w:pPr>
        <w:ind w:left="-460" w:right="140" w:firstLine="644"/>
        <w:spacing w:after="0" w:line="282" w:lineRule="auto"/>
        <w:tabs>
          <w:tab w:leader="none" w:pos="37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Warrant shall be determined in accordance with the provisions of the Purchase Agreement.</w:t>
      </w:r>
    </w:p>
    <w:p>
      <w:pPr>
        <w:spacing w:after="0" w:line="161" w:lineRule="exact"/>
        <w:rPr>
          <w:rFonts w:ascii="Times New Roman" w:cs="Times New Roman" w:eastAsia="Times New Roman" w:hAnsi="Times New Roman"/>
          <w:sz w:val="18"/>
          <w:szCs w:val="18"/>
          <w:color w:val="auto"/>
        </w:rPr>
      </w:pPr>
    </w:p>
    <w:p>
      <w:pPr>
        <w:ind w:left="-460" w:right="280" w:firstLine="644"/>
        <w:spacing w:after="0" w:line="282" w:lineRule="auto"/>
        <w:tabs>
          <w:tab w:leader="none" w:pos="35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61" w:lineRule="exact"/>
        <w:rPr>
          <w:rFonts w:ascii="Times New Roman" w:cs="Times New Roman" w:eastAsia="Times New Roman" w:hAnsi="Times New Roman"/>
          <w:sz w:val="18"/>
          <w:szCs w:val="18"/>
          <w:color w:val="auto"/>
        </w:rPr>
      </w:pPr>
    </w:p>
    <w:p>
      <w:pPr>
        <w:ind w:left="-460" w:right="60" w:firstLine="644"/>
        <w:spacing w:after="0" w:line="255" w:lineRule="auto"/>
        <w:tabs>
          <w:tab w:leader="none" w:pos="38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notwithstanding the fact that the right to exercise this Warrant terminates on the Termination Date.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and documented attorneys’ fees, including those of appellate proceedings, incurred by the Holder in collecting any amounts due pursuant hereto or in otherwise enforcing any of its rights, powers or remedies hereunder.</w:t>
      </w:r>
    </w:p>
    <w:p>
      <w:pPr>
        <w:spacing w:after="0" w:line="188" w:lineRule="exact"/>
        <w:rPr>
          <w:rFonts w:ascii="Times New Roman" w:cs="Times New Roman" w:eastAsia="Times New Roman" w:hAnsi="Times New Roman"/>
          <w:sz w:val="18"/>
          <w:szCs w:val="18"/>
          <w:color w:val="auto"/>
        </w:rPr>
      </w:pPr>
    </w:p>
    <w:p>
      <w:pPr>
        <w:ind w:left="-460" w:right="180" w:firstLine="644"/>
        <w:spacing w:after="0" w:line="282" w:lineRule="auto"/>
        <w:tabs>
          <w:tab w:leader="none" w:pos="38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or other document required or permitted to be given or delivered to the Holder by the Company shall be delivered in accordance with the notice provisions of the Purchase Agreement.</w:t>
      </w:r>
    </w:p>
    <w:p>
      <w:pPr>
        <w:spacing w:after="0" w:line="161" w:lineRule="exact"/>
        <w:rPr>
          <w:rFonts w:ascii="Times New Roman" w:cs="Times New Roman" w:eastAsia="Times New Roman" w:hAnsi="Times New Roman"/>
          <w:sz w:val="18"/>
          <w:szCs w:val="18"/>
          <w:color w:val="auto"/>
        </w:rPr>
      </w:pPr>
    </w:p>
    <w:p>
      <w:pPr>
        <w:ind w:left="-460" w:right="40" w:firstLine="644"/>
        <w:spacing w:after="0" w:line="261" w:lineRule="auto"/>
        <w:tabs>
          <w:tab w:leader="none" w:pos="34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34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79" w:lineRule="exact"/>
        <w:rPr>
          <w:rFonts w:ascii="Times New Roman" w:cs="Times New Roman" w:eastAsia="Times New Roman" w:hAnsi="Times New Roman"/>
          <w:sz w:val="18"/>
          <w:szCs w:val="18"/>
          <w:color w:val="auto"/>
        </w:rPr>
      </w:pPr>
    </w:p>
    <w:p>
      <w:pPr>
        <w:ind w:left="-460" w:right="80" w:firstLine="644"/>
        <w:spacing w:after="0" w:line="261" w:lineRule="auto"/>
        <w:tabs>
          <w:tab w:leader="none" w:pos="38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79" w:lineRule="exact"/>
        <w:rPr>
          <w:rFonts w:ascii="Times New Roman" w:cs="Times New Roman" w:eastAsia="Times New Roman" w:hAnsi="Times New Roman"/>
          <w:sz w:val="18"/>
          <w:szCs w:val="18"/>
          <w:color w:val="auto"/>
        </w:rPr>
      </w:pPr>
    </w:p>
    <w:p>
      <w:pPr>
        <w:ind w:left="-460" w:right="180" w:firstLine="644"/>
        <w:spacing w:after="0" w:line="282" w:lineRule="auto"/>
        <w:tabs>
          <w:tab w:leader="none" w:pos="34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Other than Section 2(e) and this Section 5(l), this Warrant may be modified or amended or the provisions hereof waived with the written consent of the Company, on the one hand, and the Holder of this Warrant, on the other hand.</w:t>
      </w:r>
    </w:p>
    <w:p>
      <w:pPr>
        <w:spacing w:after="0" w:line="161" w:lineRule="exact"/>
        <w:rPr>
          <w:rFonts w:ascii="Times New Roman" w:cs="Times New Roman" w:eastAsia="Times New Roman" w:hAnsi="Times New Roman"/>
          <w:sz w:val="18"/>
          <w:szCs w:val="18"/>
          <w:color w:val="auto"/>
        </w:rPr>
      </w:pPr>
    </w:p>
    <w:p>
      <w:pPr>
        <w:ind w:left="-460" w:right="40" w:firstLine="644"/>
        <w:spacing w:after="0" w:line="266" w:lineRule="auto"/>
        <w:tabs>
          <w:tab w:leader="none" w:pos="43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75"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38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16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4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44" w:name="page45"/>
    <w:bookmarkEnd w:id="44"/>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Warrant to be executed by its officer thereunto duly authorized as of the date first above indicated.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BLUEJAY DIAGNOSTICS, INC.</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337" w:right="619" w:bottom="1440" w:gutter="0" w:footer="0" w:header="0"/>
        </w:sectPr>
      </w:pPr>
    </w:p>
    <w:bookmarkStart w:id="45" w:name="page46"/>
    <w:bookmarkEnd w:id="45"/>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b w:val="1"/>
          <w:bCs w:val="1"/>
          <w:color w:val="auto"/>
        </w:rPr>
        <w:t>BLUEJAY DIAGNOSTICS, INC.</w:t>
      </w:r>
    </w:p>
    <w:p>
      <w:pPr>
        <w:spacing w:after="0" w:line="229" w:lineRule="exact"/>
        <w:rPr>
          <w:sz w:val="20"/>
          <w:szCs w:val="20"/>
          <w:color w:val="auto"/>
        </w:rPr>
      </w:pPr>
    </w:p>
    <w:p>
      <w:pPr>
        <w:ind w:right="100" w:firstLine="1304"/>
        <w:spacing w:after="0" w:line="282" w:lineRule="auto"/>
        <w:tabs>
          <w:tab w:leader="none" w:pos="154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6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lawful money of the United States; or</w:t>
      </w:r>
    </w:p>
    <w:p>
      <w:pPr>
        <w:spacing w:after="0" w:line="225" w:lineRule="exact"/>
        <w:rPr>
          <w:rFonts w:ascii="MS PGothic" w:cs="MS PGothic" w:eastAsia="MS PGothic" w:hAnsi="MS PGothic"/>
          <w:sz w:val="18"/>
          <w:szCs w:val="18"/>
          <w:color w:val="auto"/>
        </w:rPr>
      </w:pPr>
    </w:p>
    <w:p>
      <w:pPr>
        <w:jc w:val="both"/>
        <w:ind w:left="1960" w:right="180" w:hanging="8"/>
        <w:spacing w:after="0" w:line="266" w:lineRule="auto"/>
        <w:tabs>
          <w:tab w:leader="none" w:pos="2167" w:val="left"/>
        </w:tabs>
        <w:numPr>
          <w:ilvl w:val="1"/>
          <w:numId w:val="6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75" w:lineRule="exact"/>
        <w:rPr>
          <w:rFonts w:ascii="MS PGothic" w:cs="MS PGothic" w:eastAsia="MS PGothic" w:hAnsi="MS PGothic"/>
          <w:sz w:val="18"/>
          <w:szCs w:val="18"/>
          <w:color w:val="auto"/>
        </w:rPr>
      </w:pPr>
    </w:p>
    <w:p>
      <w:pPr>
        <w:ind w:left="1560" w:hanging="256"/>
        <w:spacing w:after="0"/>
        <w:tabs>
          <w:tab w:leader="none" w:pos="15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560" w:hanging="256"/>
        <w:spacing w:after="0"/>
        <w:tabs>
          <w:tab w:leader="none" w:pos="156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Accredited Investor</w:t>
      </w:r>
      <w:r>
        <w:rPr>
          <w:rFonts w:ascii="Times New Roman" w:cs="Times New Roman" w:eastAsia="Times New Roman" w:hAnsi="Times New Roman"/>
          <w:sz w:val="17"/>
          <w:szCs w:val="17"/>
          <w:color w:val="auto"/>
        </w:rPr>
        <w:t>. The undersigned is an “accredited investor” as defined in Regulation D promulgated under the Securities Act of</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1933,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 ________________________________________________________________________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 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333" w:right="45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3" w:lineRule="exact"/>
        <w:rPr>
          <w:sz w:val="20"/>
          <w:szCs w:val="20"/>
          <w:color w:val="auto"/>
        </w:rPr>
      </w:pPr>
    </w:p>
    <w:p>
      <w:pPr>
        <w:ind w:right="200" w:firstLine="189"/>
        <w:spacing w:after="0" w:line="610" w:lineRule="auto"/>
        <w:rPr>
          <w:sz w:val="20"/>
          <w:szCs w:val="20"/>
          <w:color w:val="auto"/>
        </w:rPr>
      </w:pPr>
      <w:r>
        <w:rPr>
          <w:rFonts w:ascii="Times New Roman" w:cs="Times New Roman" w:eastAsia="Times New Roman" w:hAnsi="Times New Roman"/>
          <w:sz w:val="18"/>
          <w:szCs w:val="18"/>
          <w:i w:val="1"/>
          <w:iCs w:val="1"/>
          <w:color w:val="auto"/>
        </w:rPr>
        <w:t xml:space="preserve">(To assign the foregoing Warrant, execute this form and supply required information. Do not use this form to exercise the Warrant to purchase shares.) </w:t>
      </w:r>
      <w:r>
        <w:rPr>
          <w:rFonts w:ascii="Times New Roman" w:cs="Times New Roman" w:eastAsia="Times New Roman" w:hAnsi="Times New Roman"/>
          <w:sz w:val="18"/>
          <w:szCs w:val="18"/>
          <w:color w:val="auto"/>
        </w:rPr>
        <w:t>FOR VALUE RECEIVED, the foregoing Warrant and all rights evidenced thereby are hereby assigned to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30480</wp:posOffset>
            </wp:positionV>
            <wp:extent cx="35661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(Please Print)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(Please Print)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 __, 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7" w:name="page48"/>
    <w:bookmarkEnd w:id="47"/>
    <w:p>
      <w:pPr>
        <w:ind w:left="10400"/>
        <w:spacing w:after="0"/>
        <w:rPr>
          <w:sz w:val="20"/>
          <w:szCs w:val="20"/>
          <w:color w:val="auto"/>
        </w:rPr>
      </w:pPr>
      <w:r>
        <w:rPr>
          <w:rFonts w:ascii="Times New Roman" w:cs="Times New Roman" w:eastAsia="Times New Roman" w:hAnsi="Times New Roman"/>
          <w:sz w:val="17"/>
          <w:szCs w:val="17"/>
          <w:b w:val="1"/>
          <w:bCs w:val="1"/>
          <w:color w:val="auto"/>
        </w:rPr>
        <w:t>Exhibit 4.4</w:t>
      </w:r>
    </w:p>
    <w:p>
      <w:pPr>
        <w:spacing w:after="0" w:line="24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NEITHER THIS SECURITY NOR THE SECURITIES FOR WHICH THIS SECURITY IS EXERCISABLE HAVE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OR OTHER LOAN SECURED BY SUCH SECURITIES.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PLACEMENT AGENT COMMON STOCK PURCHASE WARRANT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BLUEJAY DIAGNOSTICS, INC.</w:t>
      </w:r>
    </w:p>
    <w:p>
      <w:pPr>
        <w:sectPr>
          <w:pgSz w:w="11900" w:h="16838" w:orient="portrait"/>
          <w:cols w:equalWidth="0" w:num="1">
            <w:col w:w="11240"/>
          </w:cols>
          <w:pgMar w:left="320" w:top="117" w:right="3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Warrant Shares: ______</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 Date: June 5, 2026</w:t>
      </w:r>
    </w:p>
    <w:p>
      <w:pPr>
        <w:spacing w:after="0" w:line="200" w:lineRule="exact"/>
        <w:rPr>
          <w:sz w:val="20"/>
          <w:szCs w:val="20"/>
          <w:color w:val="auto"/>
        </w:rPr>
      </w:pPr>
    </w:p>
    <w:p>
      <w:pPr>
        <w:sectPr>
          <w:pgSz w:w="11900" w:h="16838" w:orient="portrait"/>
          <w:cols w:equalWidth="0" w:num="2">
            <w:col w:w="7380" w:space="720"/>
            <w:col w:w="3140"/>
          </w:cols>
          <w:pgMar w:left="320" w:top="117" w:right="339" w:bottom="1440" w:gutter="0" w:footer="0" w:header="0"/>
          <w:type w:val="continuous"/>
        </w:sectPr>
      </w:pPr>
    </w:p>
    <w:p>
      <w:pPr>
        <w:spacing w:after="0" w:line="25"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color w:val="auto"/>
        </w:rPr>
        <w:t>Initial Exercise Date: June 5, 2026</w:t>
      </w:r>
    </w:p>
    <w:p>
      <w:pPr>
        <w:sectPr>
          <w:pgSz w:w="11900" w:h="16838" w:orient="portrait"/>
          <w:cols w:equalWidth="0" w:num="1">
            <w:col w:w="11240"/>
          </w:cols>
          <w:pgMar w:left="320" w:top="117" w:right="339" w:bottom="1440" w:gutter="0" w:footer="0" w:header="0"/>
          <w:type w:val="continuous"/>
        </w:sectPr>
      </w:pP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PLACEMENT AGENT COMMON STOCK PURCHASE WARRANT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 or its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w:t>
      </w:r>
    </w:p>
    <w:p>
      <w:pPr>
        <w:spacing w:after="0" w:line="9" w:lineRule="exact"/>
        <w:rPr>
          <w:sz w:val="20"/>
          <w:szCs w:val="20"/>
          <w:color w:val="auto"/>
        </w:rPr>
      </w:pPr>
    </w:p>
    <w:p>
      <w:pPr>
        <w:jc w:val="both"/>
        <w:ind w:right="40"/>
        <w:spacing w:after="0" w:line="265" w:lineRule="auto"/>
        <w:rPr>
          <w:sz w:val="20"/>
          <w:szCs w:val="20"/>
          <w:color w:val="auto"/>
        </w:rPr>
      </w:pPr>
      <w:r>
        <w:rPr>
          <w:rFonts w:ascii="Times New Roman" w:cs="Times New Roman" w:eastAsia="Times New Roman" w:hAnsi="Times New Roman"/>
          <w:sz w:val="17"/>
          <w:szCs w:val="17"/>
          <w:color w:val="auto"/>
        </w:rPr>
        <w:t>any time on or after the date set forth above (the “</w:t>
      </w:r>
      <w:r>
        <w:rPr>
          <w:rFonts w:ascii="Times New Roman" w:cs="Times New Roman" w:eastAsia="Times New Roman" w:hAnsi="Times New Roman"/>
          <w:sz w:val="17"/>
          <w:szCs w:val="17"/>
          <w:u w:val="single" w:color="auto"/>
          <w:color w:val="auto"/>
        </w:rPr>
        <w:t>Initial Exercise Date</w:t>
      </w:r>
      <w:r>
        <w:rPr>
          <w:rFonts w:ascii="Times New Roman" w:cs="Times New Roman" w:eastAsia="Times New Roman" w:hAnsi="Times New Roman"/>
          <w:sz w:val="17"/>
          <w:szCs w:val="17"/>
          <w:color w:val="auto"/>
        </w:rPr>
        <w:t>”) and on or prior to 5:00 p.m. (New York City time) on the five (5) year anniversary of the Effective Date (the “</w:t>
      </w:r>
      <w:r>
        <w:rPr>
          <w:rFonts w:ascii="Times New Roman" w:cs="Times New Roman" w:eastAsia="Times New Roman" w:hAnsi="Times New Roman"/>
          <w:sz w:val="17"/>
          <w:szCs w:val="17"/>
          <w:u w:val="single" w:color="auto"/>
          <w:color w:val="auto"/>
        </w:rPr>
        <w:t>Termination Date</w:t>
      </w:r>
      <w:r>
        <w:rPr>
          <w:rFonts w:ascii="Times New Roman" w:cs="Times New Roman" w:eastAsia="Times New Roman" w:hAnsi="Times New Roman"/>
          <w:sz w:val="17"/>
          <w:szCs w:val="17"/>
          <w:color w:val="auto"/>
        </w:rPr>
        <w:t>”) but not thereafter, to subscribe for and purchase from Bluejay Diagnostics,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up to ______ shares (as subject to adjustment hereunder, the “</w:t>
      </w:r>
      <w:r>
        <w:rPr>
          <w:rFonts w:ascii="Times New Roman" w:cs="Times New Roman" w:eastAsia="Times New Roman" w:hAnsi="Times New Roman"/>
          <w:sz w:val="17"/>
          <w:szCs w:val="17"/>
          <w:u w:val="single" w:color="auto"/>
          <w:color w:val="auto"/>
        </w:rPr>
        <w:t>Warrant Shares</w:t>
      </w:r>
      <w:r>
        <w:rPr>
          <w:rFonts w:ascii="Times New Roman" w:cs="Times New Roman" w:eastAsia="Times New Roman" w:hAnsi="Times New Roman"/>
          <w:sz w:val="17"/>
          <w:szCs w:val="17"/>
          <w:color w:val="auto"/>
        </w:rPr>
        <w:t>”) of the Company’s Common Stock. The purchase price of one</w:t>
      </w:r>
    </w:p>
    <w:p>
      <w:pPr>
        <w:ind w:right="300"/>
        <w:spacing w:after="0" w:line="260" w:lineRule="auto"/>
        <w:rPr>
          <w:sz w:val="20"/>
          <w:szCs w:val="20"/>
          <w:color w:val="auto"/>
        </w:rPr>
      </w:pPr>
      <w:r>
        <w:rPr>
          <w:rFonts w:ascii="Times New Roman" w:cs="Times New Roman" w:eastAsia="Times New Roman" w:hAnsi="Times New Roman"/>
          <w:sz w:val="18"/>
          <w:szCs w:val="18"/>
          <w:color w:val="auto"/>
        </w:rPr>
        <w:t>share of Common Stock under this Warrant shall be equal to the Exercise Price, as defined in Section 2(b). This Warrant is being issued pursuant to that certain engagement letter, dated as of April 11, 2026, by and between the Company and H.C. Wainright &amp; Co., LLC.</w:t>
      </w:r>
    </w:p>
    <w:p>
      <w:pPr>
        <w:spacing w:after="0" w:line="181"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shall have the meanings set forth in that certain Securities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dated June 2, 2026, among the Company and the purchasers signatory thereto.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right="40" w:firstLine="644"/>
        <w:spacing w:after="0" w:line="272" w:lineRule="auto"/>
        <w:tabs>
          <w:tab w:leader="none" w:pos="1493"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Exercise of Warrant</w:t>
      </w:r>
      <w:r>
        <w:rPr>
          <w:rFonts w:ascii="Times New Roman" w:cs="Times New Roman" w:eastAsia="Times New Roman" w:hAnsi="Times New Roman"/>
          <w:sz w:val="17"/>
          <w:szCs w:val="17"/>
          <w:color w:val="auto"/>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7"/>
          <w:szCs w:val="17"/>
          <w:u w:val="single" w:color="auto"/>
          <w:color w:val="auto"/>
        </w:rPr>
        <w:t>Notice of Exercise</w:t>
      </w:r>
      <w:r>
        <w:rPr>
          <w:rFonts w:ascii="Times New Roman" w:cs="Times New Roman" w:eastAsia="Times New Roman" w:hAnsi="Times New Roman"/>
          <w:sz w:val="17"/>
          <w:szCs w:val="17"/>
          <w:color w:val="auto"/>
        </w:rPr>
        <w:t>”). Within the earlier of (i) one (1)</w:t>
      </w:r>
    </w:p>
    <w:p>
      <w:pPr>
        <w:spacing w:after="0" w:line="1" w:lineRule="exact"/>
        <w:rPr>
          <w:rFonts w:ascii="Times New Roman" w:cs="Times New Roman" w:eastAsia="Times New Roman" w:hAnsi="Times New Roman"/>
          <w:sz w:val="17"/>
          <w:szCs w:val="17"/>
          <w:color w:val="auto"/>
        </w:rPr>
      </w:pPr>
    </w:p>
    <w:p>
      <w:pPr>
        <w:ind w:left="660" w:right="8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Trading Day and (ii) the number of Trading Days comprising the Standard Settlement Period (as defined in Section 2(d)(i) herein), in each case, following the date of exercise as aforesaid, the Holder shall deliver the aggregate Exercise Price for the Warrant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as soon as reasonably practicable, but in no event later than the third Trading Day following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Trading Day of receipt of such notice. </w:t>
      </w:r>
      <w:r>
        <w:rPr>
          <w:rFonts w:ascii="Times New Roman" w:cs="Times New Roman" w:eastAsia="Times New Roman" w:hAnsi="Times New Roman"/>
          <w:sz w:val="18"/>
          <w:szCs w:val="18"/>
          <w:b w:val="1"/>
          <w:bCs w:val="1"/>
          <w:color w:val="auto"/>
        </w:rPr>
        <w:t>The Holder and any assignee, by acceptance of this Warrant, acknowledge and agree that, by reason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provisions of this paragraph, following the purchase of a portion of the Warrant Shares hereunder, the number of Warrant Shares available for purchase hereunder at any given time may be less than the amount stated on the face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8" w:name="page49"/>
    <w:bookmarkEnd w:id="48"/>
    <w:p>
      <w:pPr>
        <w:ind w:left="-460" w:right="240" w:firstLine="644"/>
        <w:spacing w:after="0" w:line="286" w:lineRule="auto"/>
        <w:tabs>
          <w:tab w:leader="none" w:pos="38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xml:space="preserve">. The exercise price per share of Common Stock under this Warrant shall be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2.9063, subject to adjustment hereunder (the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ind w:left="-460" w:firstLine="644"/>
        <w:spacing w:after="0" w:line="261" w:lineRule="auto"/>
        <w:tabs>
          <w:tab w:leader="none" w:pos="37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If at the time of exercise hereof there is no effective registration statement registering, or the prospectus contained therein is not available for the resale of the Warrant Shares by the Holder, then this Warrant may also be exercised, in whole or in part, at such time by means of a “cashless exercise” in which the Holder shall be entitled to receive a number of Warrant Shares equal to the quotient obtained by dividing [(A-B) (X)] by (A), where:</w:t>
      </w:r>
    </w:p>
    <w:p>
      <w:pPr>
        <w:spacing w:after="0" w:line="180" w:lineRule="exact"/>
        <w:rPr>
          <w:sz w:val="20"/>
          <w:szCs w:val="20"/>
          <w:color w:val="auto"/>
        </w:rPr>
      </w:pPr>
    </w:p>
    <w:p>
      <w:pPr>
        <w:ind w:left="700" w:right="20" w:hanging="516"/>
        <w:spacing w:after="0" w:line="253" w:lineRule="auto"/>
        <w:tabs>
          <w:tab w:leader="none" w:pos="48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91" w:lineRule="exact"/>
        <w:rPr>
          <w:rFonts w:ascii="Times New Roman" w:cs="Times New Roman" w:eastAsia="Times New Roman" w:hAnsi="Times New Roman"/>
          <w:sz w:val="18"/>
          <w:szCs w:val="18"/>
          <w:color w:val="auto"/>
        </w:rPr>
      </w:pPr>
    </w:p>
    <w:p>
      <w:pPr>
        <w:ind w:left="460" w:hanging="276"/>
        <w:spacing w:after="0"/>
        <w:tabs>
          <w:tab w:leader="none" w:pos="4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of this Warrant, as adjusted hereunder; and</w:t>
      </w:r>
    </w:p>
    <w:p>
      <w:pPr>
        <w:spacing w:after="0" w:line="225" w:lineRule="exact"/>
        <w:rPr>
          <w:sz w:val="20"/>
          <w:szCs w:val="20"/>
          <w:color w:val="auto"/>
        </w:rPr>
      </w:pPr>
    </w:p>
    <w:p>
      <w:pPr>
        <w:ind w:left="700" w:right="80" w:hanging="516"/>
        <w:spacing w:after="0" w:line="282" w:lineRule="auto"/>
        <w:tabs>
          <w:tab w:leader="none" w:pos="48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37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49" w:name="page50"/>
    <w:bookmarkEnd w:id="49"/>
    <w:p>
      <w:pPr>
        <w:ind w:right="20" w:firstLine="648"/>
        <w:spacing w:after="0" w:line="253" w:lineRule="auto"/>
        <w:rPr>
          <w:sz w:val="20"/>
          <w:szCs w:val="20"/>
          <w:color w:val="auto"/>
        </w:rPr>
      </w:pP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bid price of the Common Stock for the time in question (or the nearest preceding date) on the Trading Market on which the Common Stock is then listed or quoted as reported by Bloomberg (based on a Trading Day from 9:30 a.m. (New York City time) to 4:02 p.m. (New York City time)), (b) if the OTCQB Venture Market (the “</w:t>
      </w:r>
      <w:r>
        <w:rPr>
          <w:rFonts w:ascii="Times New Roman" w:cs="Times New Roman" w:eastAsia="Times New Roman" w:hAnsi="Times New Roman"/>
          <w:sz w:val="18"/>
          <w:szCs w:val="18"/>
          <w:u w:val="single" w:color="auto"/>
          <w:color w:val="auto"/>
        </w:rPr>
        <w:t>OTCQB</w:t>
      </w:r>
      <w:r>
        <w:rPr>
          <w:rFonts w:ascii="Times New Roman" w:cs="Times New Roman" w:eastAsia="Times New Roman" w:hAnsi="Times New Roman"/>
          <w:sz w:val="18"/>
          <w:szCs w:val="18"/>
          <w:color w:val="auto"/>
        </w:rPr>
        <w:t>”) or the OTCQX Best Market (the “</w:t>
      </w:r>
      <w:r>
        <w:rPr>
          <w:rFonts w:ascii="Times New Roman" w:cs="Times New Roman" w:eastAsia="Times New Roman" w:hAnsi="Times New Roman"/>
          <w:sz w:val="18"/>
          <w:szCs w:val="18"/>
          <w:u w:val="single" w:color="auto"/>
          <w:color w:val="auto"/>
        </w:rPr>
        <w:t>OTCQX</w:t>
      </w:r>
      <w:r>
        <w:rPr>
          <w:rFonts w:ascii="Times New Roman" w:cs="Times New Roman" w:eastAsia="Times New Roman" w:hAnsi="Times New Roman"/>
          <w:sz w:val="18"/>
          <w:szCs w:val="18"/>
          <w:color w:val="auto"/>
        </w:rPr>
        <w:t>”)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operated by the OTC Markets, Inc. (the “</w:t>
      </w:r>
      <w:r>
        <w:rPr>
          <w:rFonts w:ascii="Times New Roman" w:cs="Times New Roman" w:eastAsia="Times New Roman" w:hAnsi="Times New Roman"/>
          <w:sz w:val="18"/>
          <w:szCs w:val="18"/>
          <w:u w:val="single" w:color="auto"/>
          <w:color w:val="auto"/>
        </w:rPr>
        <w:t>Pink Market</w:t>
      </w:r>
      <w:r>
        <w:rPr>
          <w:rFonts w:ascii="Times New Roman" w:cs="Times New Roman" w:eastAsia="Times New Roman" w:hAnsi="Times New Roman"/>
          <w:sz w:val="18"/>
          <w:szCs w:val="18"/>
          <w:color w:val="auto"/>
        </w:rPr>
        <w: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Holders of a majority in interest of the Securities then outstanding and reasonably acceptable to the Company, the fees and expenses of which shall be paid by the Company.</w:t>
      </w:r>
    </w:p>
    <w:p>
      <w:pPr>
        <w:spacing w:after="0" w:line="194"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(based on a Trading Day from 9:30 a.m. (New York City time) to 4:02 p.m. (New York City time)), (b) if the OTCQB or the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Market, the most recent bid price per share of the Common Stock so reported, or (d) in all other cases, the fair market value of a share of Common Stock as determined by an independent appraiser selected in good faith by the Holders of a majority in interest of the Securities then outstanding and reasonably acceptable to the Company, the fees and expenses of which shall be paid by the Company.</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Warrant Shares are issued in such a cashless exercise, the parties acknowledge and agree that in accordance with Section 3(a)(9) of the Securities Act, the holding period of the Warrant Shares being issued may be tacked on to the holding period of this Warrant. The Company agrees not to take any position contrary to this Section 2(c).</w:t>
      </w:r>
    </w:p>
    <w:p>
      <w:pPr>
        <w:spacing w:after="0" w:line="39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904" w:right="359" w:bottom="1440" w:gutter="0" w:footer="0" w:header="0"/>
        </w:sectPr>
      </w:pPr>
    </w:p>
    <w:bookmarkStart w:id="50" w:name="page51"/>
    <w:bookmarkEnd w:id="50"/>
    <w:p>
      <w:pPr>
        <w:ind w:left="380" w:hanging="196"/>
        <w:spacing w:after="0"/>
        <w:tabs>
          <w:tab w:leader="none" w:pos="3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840" w:firstLine="640"/>
        <w:spacing w:after="0" w:line="266" w:lineRule="auto"/>
        <w:tabs>
          <w:tab w:leader="none" w:pos="1628"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Delivery of Warrant Shares Upon Exercise</w:t>
      </w:r>
      <w:r>
        <w:rPr>
          <w:rFonts w:ascii="Times New Roman" w:cs="Times New Roman" w:eastAsia="Times New Roman" w:hAnsi="Times New Roman"/>
          <w:sz w:val="17"/>
          <w:szCs w:val="17"/>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7"/>
          <w:szCs w:val="17"/>
          <w:u w:val="single" w:color="auto"/>
          <w:color w:val="auto"/>
        </w:rPr>
        <w:t>DWAC</w:t>
      </w:r>
      <w:r>
        <w:rPr>
          <w:rFonts w:ascii="Times New Roman" w:cs="Times New Roman" w:eastAsia="Times New Roman" w:hAnsi="Times New Roman"/>
          <w:sz w:val="17"/>
          <w:szCs w:val="17"/>
          <w:color w:val="auto"/>
        </w:rPr>
        <w:t>”) if the Company is then a participant in such system and either (A) there is an effective registration statement permitting the issuance of the Warrant Shares to or resale of the Warrant Shares by the Holder or (B) the Warrant Shares are eligible for resale by the Holder without volume or manner-of-sale limitations pursuant to Rule 144 (assuming cashless exercise of the Warrants), and otherwise by book entry credit, registered in the Company’s share register in the name of the Holder or its designee, for the number of Warrant Shares to which the Holder is entitled pursuant to such exercise to the address specified by the Holder in the Notice of Exercise by the date that is the earlier of (i) one (1) Trading Day after the delivery to the Company of the Notice of Exercise and (ii) the number of Trading Days comprising the Standard Settlement Period, in each case after the delivery to the Company of the Notice of Exercise (such date, the “</w:t>
      </w:r>
      <w:r>
        <w:rPr>
          <w:rFonts w:ascii="Times New Roman" w:cs="Times New Roman" w:eastAsia="Times New Roman" w:hAnsi="Times New Roman"/>
          <w:sz w:val="17"/>
          <w:szCs w:val="17"/>
          <w:u w:val="single" w:color="auto"/>
          <w:color w:val="auto"/>
        </w:rPr>
        <w:t>Warrant Share Delivery Date</w:t>
      </w:r>
      <w:r>
        <w:rPr>
          <w:rFonts w:ascii="Times New Roman" w:cs="Times New Roman" w:eastAsia="Times New Roman" w:hAnsi="Times New Roman"/>
          <w:sz w:val="17"/>
          <w:szCs w:val="17"/>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one (1) Trading Day and (ii) the number of Trading Days comprising the Standard Settlement Period, in each case after delivery to the Company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w:t>
      </w:r>
    </w:p>
    <w:p>
      <w:pPr>
        <w:spacing w:after="0" w:line="6" w:lineRule="exact"/>
        <w:rPr>
          <w:sz w:val="20"/>
          <w:szCs w:val="20"/>
          <w:color w:val="auto"/>
        </w:rPr>
      </w:pPr>
    </w:p>
    <w:p>
      <w:pPr>
        <w:ind w:left="840" w:right="160"/>
        <w:spacing w:after="0" w:line="234" w:lineRule="auto"/>
        <w:rPr>
          <w:sz w:val="20"/>
          <w:szCs w:val="20"/>
          <w:color w:val="auto"/>
        </w:rPr>
      </w:pPr>
      <w:r>
        <w:rPr>
          <w:rFonts w:ascii="Times New Roman" w:cs="Times New Roman" w:eastAsia="Times New Roman" w:hAnsi="Times New Roman"/>
          <w:sz w:val="18"/>
          <w:szCs w:val="18"/>
          <w:color w:val="auto"/>
        </w:rPr>
        <w:t>Notice of Exercise), $10 per Trading Day (increasing to $20 per Trading Day on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Common Stock as in effect on the date of delivery of the Notice of Exercise.</w:t>
      </w:r>
    </w:p>
    <w:p>
      <w:pPr>
        <w:spacing w:after="0" w:line="200" w:lineRule="exact"/>
        <w:rPr>
          <w:sz w:val="20"/>
          <w:szCs w:val="20"/>
          <w:color w:val="auto"/>
        </w:rPr>
      </w:pPr>
    </w:p>
    <w:p>
      <w:pPr>
        <w:jc w:val="both"/>
        <w:ind w:left="840" w:right="200" w:firstLine="640"/>
        <w:spacing w:after="0" w:line="261" w:lineRule="auto"/>
        <w:tabs>
          <w:tab w:leader="none" w:pos="167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39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60"/>
          </w:cols>
          <w:pgMar w:left="1440" w:top="904" w:right="399" w:bottom="1440" w:gutter="0" w:footer="0" w:header="0"/>
        </w:sectPr>
      </w:pPr>
    </w:p>
    <w:bookmarkStart w:id="51" w:name="page52"/>
    <w:bookmarkEnd w:id="51"/>
    <w:p>
      <w:pPr>
        <w:ind w:left="840" w:right="280" w:firstLine="640"/>
        <w:spacing w:after="0" w:line="312" w:lineRule="auto"/>
        <w:tabs>
          <w:tab w:leader="none" w:pos="1728"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Rescission Rights</w:t>
      </w:r>
      <w:r>
        <w:rPr>
          <w:rFonts w:ascii="Times New Roman" w:cs="Times New Roman" w:eastAsia="Times New Roman" w:hAnsi="Times New Roman"/>
          <w:sz w:val="17"/>
          <w:szCs w:val="17"/>
          <w:color w:val="auto"/>
        </w:rPr>
        <w:t>. If the Company fails to cause the Transfer Agent to transmit to the Holder the Warrant Shares pursuant to Section 2(d)(i) by the Warrant Share Delivery Date, then the Holder will have the right to rescind such exercise.</w:t>
      </w:r>
    </w:p>
    <w:p>
      <w:pPr>
        <w:spacing w:after="0" w:line="139" w:lineRule="exact"/>
        <w:rPr>
          <w:rFonts w:ascii="Times New Roman" w:cs="Times New Roman" w:eastAsia="Times New Roman" w:hAnsi="Times New Roman"/>
          <w:sz w:val="17"/>
          <w:szCs w:val="17"/>
          <w:color w:val="auto"/>
        </w:rPr>
      </w:pPr>
    </w:p>
    <w:p>
      <w:pPr>
        <w:ind w:left="840" w:firstLine="640"/>
        <w:spacing w:after="0" w:line="251" w:lineRule="auto"/>
        <w:tabs>
          <w:tab w:leader="none" w:pos="170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Warrant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provided, that, for purposes of clarity, under this Clause (B), the Holder shall not be entitled to both (i) require the reinstatement of the portion of the Warrant and the equivalent Warrant Shares for which such exercise was not honored, and (ii) receive the number of shares of Common Stock that would have been issued if the Company had timely complied with its delivery requirements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204" w:lineRule="exact"/>
        <w:rPr>
          <w:rFonts w:ascii="Times New Roman" w:cs="Times New Roman" w:eastAsia="Times New Roman" w:hAnsi="Times New Roman"/>
          <w:sz w:val="18"/>
          <w:szCs w:val="18"/>
          <w:color w:val="auto"/>
        </w:rPr>
      </w:pPr>
    </w:p>
    <w:p>
      <w:pPr>
        <w:ind w:left="840" w:right="160" w:firstLine="640"/>
        <w:spacing w:after="0" w:line="261" w:lineRule="auto"/>
        <w:tabs>
          <w:tab w:leader="none" w:pos="165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39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904" w:right="359" w:bottom="1440" w:gutter="0" w:footer="0" w:header="0"/>
        </w:sectPr>
      </w:pPr>
    </w:p>
    <w:bookmarkStart w:id="52" w:name="page53"/>
    <w:bookmarkEnd w:id="52"/>
    <w:p>
      <w:pPr>
        <w:ind w:left="1304" w:right="20" w:firstLine="640"/>
        <w:spacing w:after="0" w:line="254" w:lineRule="auto"/>
        <w:tabs>
          <w:tab w:leader="none" w:pos="2182"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88" w:lineRule="exact"/>
        <w:rPr>
          <w:rFonts w:ascii="Times New Roman" w:cs="Times New Roman" w:eastAsia="Times New Roman" w:hAnsi="Times New Roman"/>
          <w:sz w:val="18"/>
          <w:szCs w:val="18"/>
          <w:color w:val="auto"/>
        </w:rPr>
      </w:pPr>
    </w:p>
    <w:p>
      <w:pPr>
        <w:ind w:left="1304" w:right="140" w:firstLine="640"/>
        <w:spacing w:after="0" w:line="282" w:lineRule="auto"/>
        <w:tabs>
          <w:tab w:leader="none" w:pos="2232"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stockholder books or records in any manner which prevents the timely exercise of this Warrant, pursuant to the terms hereof.</w:t>
      </w:r>
    </w:p>
    <w:p>
      <w:pPr>
        <w:spacing w:after="0" w:line="161" w:lineRule="exact"/>
        <w:rPr>
          <w:rFonts w:ascii="Times New Roman" w:cs="Times New Roman" w:eastAsia="Times New Roman" w:hAnsi="Times New Roman"/>
          <w:sz w:val="18"/>
          <w:szCs w:val="18"/>
          <w:color w:val="auto"/>
        </w:rPr>
      </w:pPr>
    </w:p>
    <w:p>
      <w:pPr>
        <w:ind w:left="4" w:firstLine="644"/>
        <w:spacing w:after="0" w:line="251" w:lineRule="auto"/>
        <w:tabs>
          <w:tab w:leader="none" w:pos="837"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Exercise Limitations</w:t>
      </w:r>
      <w:r>
        <w:rPr>
          <w:rFonts w:ascii="Times New Roman" w:cs="Times New Roman" w:eastAsia="Times New Roman" w:hAnsi="Times New Roman"/>
          <w:sz w:val="18"/>
          <w:szCs w:val="18"/>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w:t>
      </w:r>
      <w:r>
        <w:rPr>
          <w:rFonts w:ascii="Times New Roman" w:cs="Times New Roman" w:eastAsia="Times New Roman" w:hAnsi="Times New Roman"/>
          <w:sz w:val="18"/>
          <w:szCs w:val="18"/>
          <w:u w:val="single" w:color="auto"/>
          <w:color w:val="auto"/>
        </w:rPr>
        <w:t>Attribution 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w:t>
      </w:r>
    </w:p>
    <w:p>
      <w:pPr>
        <w:spacing w:after="0" w:line="11" w:lineRule="exact"/>
        <w:rPr>
          <w:rFonts w:ascii="Times New Roman" w:cs="Times New Roman" w:eastAsia="Times New Roman" w:hAnsi="Times New Roman"/>
          <w:sz w:val="18"/>
          <w:szCs w:val="18"/>
          <w:color w:val="auto"/>
        </w:rPr>
      </w:pPr>
    </w:p>
    <w:p>
      <w:pPr>
        <w:ind w:left="4" w:right="20" w:hanging="4"/>
        <w:spacing w:after="0" w:line="265" w:lineRule="auto"/>
        <w:tabs>
          <w:tab w:leader="none" w:pos="289"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more recent public announcement by the Company or (C) a more recent written notice by the Company or the Transfer Agent setting forth the number of shares of Common Stock outstanding. Upon the written or oral request of a Holder, the Company shall within one (1)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Times New Roman" w:cs="Times New Roman" w:eastAsia="Times New Roman" w:hAnsi="Times New Roman"/>
          <w:sz w:val="17"/>
          <w:szCs w:val="17"/>
          <w:u w:val="single" w:color="auto"/>
          <w:color w:val="auto"/>
        </w:rPr>
        <w:t>Beneficial Ownership Limitation</w:t>
      </w:r>
      <w:r>
        <w:rPr>
          <w:rFonts w:ascii="Times New Roman" w:cs="Times New Roman" w:eastAsia="Times New Roman" w:hAnsi="Times New Roman"/>
          <w:sz w:val="17"/>
          <w:szCs w:val="17"/>
          <w:color w:val="auto"/>
        </w:rPr>
        <w:t>” shall be 4.99% of the number of shares of the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the Common Stock outstanding immediately after giving effect to the issuance of shares of Common Stock upon exercise of this Warrant held by the Holder and the provisions of this Section 2(e) shall continue to apply. Any increase in the</w:t>
      </w:r>
    </w:p>
    <w:p>
      <w:pPr>
        <w:spacing w:after="0" w:line="2" w:lineRule="exact"/>
        <w:rPr>
          <w:sz w:val="20"/>
          <w:szCs w:val="20"/>
          <w:color w:val="auto"/>
        </w:rPr>
      </w:pPr>
    </w:p>
    <w:p>
      <w:pPr>
        <w:ind w:left="4" w:right="100"/>
        <w:spacing w:after="0" w:line="231" w:lineRule="auto"/>
        <w:rPr>
          <w:sz w:val="20"/>
          <w:szCs w:val="20"/>
          <w:color w:val="auto"/>
        </w:rPr>
      </w:pPr>
      <w:r>
        <w:rPr>
          <w:rFonts w:ascii="Times New Roman" w:cs="Times New Roman" w:eastAsia="Times New Roman" w:hAnsi="Times New Roman"/>
          <w:sz w:val="18"/>
          <w:szCs w:val="18"/>
          <w:color w:val="auto"/>
        </w:rPr>
        <w:t>Beneficial Ownership Limitation will not be effective until the 61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200" w:lineRule="exact"/>
        <w:rPr>
          <w:sz w:val="20"/>
          <w:szCs w:val="20"/>
          <w:color w:val="auto"/>
        </w:rPr>
      </w:pPr>
    </w:p>
    <w:p>
      <w:pPr>
        <w:spacing w:after="0" w:line="216"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4"/>
        <w:spacing w:after="0" w:line="253" w:lineRule="auto"/>
        <w:tabs>
          <w:tab w:leader="none" w:pos="83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Splits</w:t>
      </w:r>
      <w:r>
        <w:rPr>
          <w:rFonts w:ascii="Times New Roman" w:cs="Times New Roman" w:eastAsia="Times New Roman" w:hAnsi="Times New Roman"/>
          <w:sz w:val="18"/>
          <w:szCs w:val="18"/>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the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89" w:lineRule="exact"/>
        <w:rPr>
          <w:rFonts w:ascii="Times New Roman" w:cs="Times New Roman" w:eastAsia="Times New Roman" w:hAnsi="Times New Roman"/>
          <w:sz w:val="18"/>
          <w:szCs w:val="18"/>
          <w:color w:val="auto"/>
        </w:rPr>
      </w:pPr>
    </w:p>
    <w:p>
      <w:pPr>
        <w:ind w:right="40" w:firstLine="644"/>
        <w:spacing w:after="0" w:line="253" w:lineRule="auto"/>
        <w:tabs>
          <w:tab w:leader="none" w:pos="84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89" w:lineRule="exact"/>
        <w:rPr>
          <w:rFonts w:ascii="Times New Roman" w:cs="Times New Roman" w:eastAsia="Times New Roman" w:hAnsi="Times New Roman"/>
          <w:sz w:val="18"/>
          <w:szCs w:val="18"/>
          <w:color w:val="auto"/>
        </w:rPr>
      </w:pPr>
    </w:p>
    <w:p>
      <w:pPr>
        <w:ind w:right="40" w:firstLine="644"/>
        <w:spacing w:after="0" w:line="253" w:lineRule="auto"/>
        <w:tabs>
          <w:tab w:leader="none" w:pos="83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(provided, however,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200" w:lineRule="exact"/>
        <w:rPr>
          <w:sz w:val="20"/>
          <w:szCs w:val="20"/>
          <w:color w:val="auto"/>
        </w:rPr>
      </w:pPr>
    </w:p>
    <w:p>
      <w:pPr>
        <w:spacing w:after="0" w:line="20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980" w:top="904" w:right="379" w:bottom="1440" w:gutter="0" w:footer="0" w:header="0"/>
        </w:sectPr>
      </w:pPr>
    </w:p>
    <w:bookmarkStart w:id="54" w:name="page55"/>
    <w:bookmarkEnd w:id="54"/>
    <w:p>
      <w:pPr>
        <w:ind w:left="4" w:firstLine="644"/>
        <w:spacing w:after="0" w:line="265" w:lineRule="auto"/>
        <w:tabs>
          <w:tab w:leader="none" w:pos="847"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If, at any time while this Warrant is outstanding, (i) the Company, directly or indirectly, in one or more related transactions effects any merger or consolidation of the Company with or into another Person, (ii) the Company (or all of its Subsidiaries, taken as a whole), directly or indirectly, effects any sale, lease, license, assignment, transfer, conveyance or other disposition of all or substantially all of the assets of the Company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or 50% or more of the voting power of the common equity of the Company,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50% or more of the outstanding shares of Common Stock or 50% or more of the voting power of the common equity of the Company (each a “</w:t>
      </w:r>
      <w:r>
        <w:rPr>
          <w:rFonts w:ascii="Times New Roman" w:cs="Times New Roman" w:eastAsia="Times New Roman" w:hAnsi="Times New Roman"/>
          <w:sz w:val="17"/>
          <w:szCs w:val="17"/>
          <w:u w:val="single" w:color="auto"/>
          <w:color w:val="auto"/>
        </w:rPr>
        <w:t>Fundamental Transaction</w:t>
      </w:r>
      <w:r>
        <w:rPr>
          <w:rFonts w:ascii="Times New Roman" w:cs="Times New Roman" w:eastAsia="Times New Roman" w:hAnsi="Times New Roman"/>
          <w:sz w:val="17"/>
          <w:szCs w:val="17"/>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Times New Roman" w:cs="Times New Roman" w:eastAsia="Times New Roman" w:hAnsi="Times New Roman"/>
          <w:sz w:val="17"/>
          <w:szCs w:val="17"/>
          <w:u w:val="single" w:color="auto"/>
          <w:color w:val="auto"/>
        </w:rPr>
        <w:t>Alternate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Consideration</w:t>
      </w:r>
      <w:r>
        <w:rPr>
          <w:rFonts w:ascii="Times New Roman" w:cs="Times New Roman" w:eastAsia="Times New Roman" w:hAnsi="Times New Roman"/>
          <w:sz w:val="17"/>
          <w:szCs w:val="17"/>
          <w:color w:val="auto"/>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(or, if later, the date of the public announcement of the applicable Fundamental Transaction), purchase this Warrant from the Holder by paying to the Holder an amount of cash equal to the Black Scholes Value (as defined below) of the remaining unexercised portion of this Warrant on the date of the consummation of such Fundamental Transaction; provided, however, that, if the Fundamental Transaction is not within the Company’s control, including not approved by the Company’s Board of Directors, the Holder shall only be entitled to receive from the Company or any Successor Entity the same type or form of consideration (and in the same proportion), at the Black Scholes Value of the unexercised portion of this Warrant,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provided, further, that if holders of Common Stock of the Company are not offered or paid any consideration in such Fundamental Transaction, such holders of Common Stock will be deemed to have received common stock of the Successor Entity (which Entity may be the Company following such Fundamental Transaction) in such Fundamental Transaction. “Black Scholes Value” means the value of this Warrant based on the Black-Scholes Option Pricing Model obtained from the “OV” function on Bloomberg determined as of the day of consummation of the applicable Fundamental Transaction for pricing purposes and reflecting (A) a risk-free interest rate corresponding to the U.S. Treasury rate for a period equal to the time between the date of the public announcement of the applicable contemplated Fundamental Transaction and the Termination Date, (B) an expected volatility equal to the greater of 100% and the 100 day volatility obtained from the HVT function on Bloomberg (determined utilizing a 365 day annualization factor) as of the Trading Day immediately following the public announcement of the applicable contemplated Fundamental Transaction, (C) the underlying price per share used in such calculation shall be the highest VWAP during the period beginning on the Trading Day immediately preceding the public announcement of the applicable contemplated Fundamental Transaction (or the consummation of the applicable Fundamental Transaction, if earlier) and ending on the Trading Day of the Holder’s request pursuant to this Section 3(d) and (D) a remaining option time equal to the time between the date of the public announcement of the applicable contemplated Fundamental Transaction and the Termination Date and (E) a zero cost of borrow. The payment of the Black Scholes Value will be made by wire transfer of immediately available funds (or such other consideration) within five Business Days of the Holder’s election (or, if later, on the effective date of the consummation of the Fundamental Transaction). The Company shall cause any successor entity in a Fundamental Transaction in which the Company is not the survivor (the “Successor Entity”) to assume in writing all of the obligations of the Company under this Warrant and the other Transaction Documents in accordance with the provisions of this Section 3(d)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Section 3(d) regardless of (i) whether the Company has sufficient authorized shares of Common Stock for the issuance of Warrant Shares and/or</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76"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 Fundamental Transaction occurs prior to the Initial Exercise Date.</w:t>
      </w:r>
    </w:p>
    <w:p>
      <w:pPr>
        <w:spacing w:after="0" w:line="200" w:lineRule="exact"/>
        <w:rPr>
          <w:sz w:val="20"/>
          <w:szCs w:val="20"/>
          <w:color w:val="auto"/>
        </w:rPr>
      </w:pPr>
    </w:p>
    <w:p>
      <w:pPr>
        <w:spacing w:after="0" w:line="22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904" w:right="359" w:bottom="42" w:gutter="0" w:footer="0" w:header="0"/>
        </w:sectPr>
      </w:pPr>
    </w:p>
    <w:bookmarkStart w:id="55" w:name="page56"/>
    <w:bookmarkEnd w:id="55"/>
    <w:p>
      <w:pPr>
        <w:ind w:left="-460" w:firstLine="644"/>
        <w:spacing w:after="0" w:line="266" w:lineRule="auto"/>
        <w:tabs>
          <w:tab w:leader="none" w:pos="37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75" w:lineRule="exact"/>
        <w:rPr>
          <w:rFonts w:ascii="Times New Roman" w:cs="Times New Roman" w:eastAsia="Times New Roman" w:hAnsi="Times New Roman"/>
          <w:sz w:val="18"/>
          <w:szCs w:val="18"/>
          <w:color w:val="auto"/>
        </w:rPr>
      </w:pPr>
    </w:p>
    <w:p>
      <w:pPr>
        <w:ind w:left="340" w:hanging="156"/>
        <w:spacing w:after="0"/>
        <w:tabs>
          <w:tab w:leader="none" w:pos="3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840" w:firstLine="640"/>
        <w:spacing w:after="0" w:line="289" w:lineRule="auto"/>
        <w:tabs>
          <w:tab w:leader="none" w:pos="1628"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 to Exercise Price</w:t>
      </w:r>
      <w:r>
        <w:rPr>
          <w:rFonts w:ascii="Times New Roman" w:cs="Times New Roman" w:eastAsia="Times New Roman" w:hAnsi="Times New Roman"/>
          <w:sz w:val="17"/>
          <w:szCs w:val="17"/>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157" w:lineRule="exact"/>
        <w:rPr>
          <w:rFonts w:ascii="Times New Roman" w:cs="Times New Roman" w:eastAsia="Times New Roman" w:hAnsi="Times New Roman"/>
          <w:sz w:val="17"/>
          <w:szCs w:val="17"/>
          <w:color w:val="auto"/>
        </w:rPr>
      </w:pPr>
    </w:p>
    <w:p>
      <w:pPr>
        <w:ind w:left="840" w:right="40" w:firstLine="640"/>
        <w:spacing w:after="0" w:line="251" w:lineRule="auto"/>
        <w:tabs>
          <w:tab w:leader="none" w:pos="1678"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(or any of its Subsidiaries) is a party, any sale or transfer of all or substantially all of its assets,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the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200" w:lineRule="exact"/>
        <w:rPr>
          <w:sz w:val="20"/>
          <w:szCs w:val="20"/>
          <w:color w:val="auto"/>
        </w:rPr>
      </w:pPr>
    </w:p>
    <w:p>
      <w:pPr>
        <w:spacing w:after="0" w:line="22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4"/>
        <w:spacing w:after="0" w:line="253" w:lineRule="auto"/>
        <w:tabs>
          <w:tab w:leader="none" w:pos="83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Subject to compliance with any applicable securities laws and the conditions set forth in Section 4(d) hereof and to the provisions of Section 4.1 of the Purchase Agreement,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89" w:lineRule="exact"/>
        <w:rPr>
          <w:rFonts w:ascii="Times New Roman" w:cs="Times New Roman" w:eastAsia="Times New Roman" w:hAnsi="Times New Roman"/>
          <w:sz w:val="18"/>
          <w:szCs w:val="18"/>
          <w:color w:val="auto"/>
        </w:rPr>
      </w:pPr>
    </w:p>
    <w:p>
      <w:pPr>
        <w:ind w:right="60" w:firstLine="644"/>
        <w:spacing w:after="0" w:line="256" w:lineRule="auto"/>
        <w:tabs>
          <w:tab w:leader="none" w:pos="84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spacing w:after="0" w:line="187" w:lineRule="exact"/>
        <w:rPr>
          <w:rFonts w:ascii="Times New Roman" w:cs="Times New Roman" w:eastAsia="Times New Roman" w:hAnsi="Times New Roman"/>
          <w:sz w:val="18"/>
          <w:szCs w:val="18"/>
          <w:color w:val="auto"/>
        </w:rPr>
      </w:pPr>
    </w:p>
    <w:p>
      <w:pPr>
        <w:ind w:right="40" w:firstLine="644"/>
        <w:spacing w:after="0" w:line="256" w:lineRule="auto"/>
        <w:tabs>
          <w:tab w:leader="none" w:pos="83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act as the warrant agent to the Holder.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in the name of the record Holder hereof for the benefit of the Holder. The Company may deem and treat the registered Holder of this Warrant as the absolute owner hereof for the purpose of any exercise hereof or any distribution to the Holder, and for all other purposes, absent actual notice to the contrary. The Holder shall have the right to request at any time the issuance of an ink-original warrant evidencing the ownership of this Warrant to such Holder, which shall be dated the original issue date and delivered to the address specified by the Holder within one (1) trading day upon request.</w:t>
      </w:r>
    </w:p>
    <w:p>
      <w:pPr>
        <w:spacing w:after="0" w:line="200" w:lineRule="exact"/>
        <w:rPr>
          <w:sz w:val="20"/>
          <w:szCs w:val="20"/>
          <w:color w:val="auto"/>
        </w:rPr>
      </w:pPr>
    </w:p>
    <w:p>
      <w:pPr>
        <w:spacing w:after="0" w:line="20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57" w:name="page58"/>
    <w:bookmarkEnd w:id="57"/>
    <w:p>
      <w:pPr>
        <w:ind w:right="60" w:firstLine="644"/>
        <w:spacing w:after="0" w:line="258" w:lineRule="auto"/>
        <w:tabs>
          <w:tab w:leader="none" w:pos="843"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 If, at the time of the surrender of this Warrant in connection with any transfer of this Warrant, the transfer of this Warrant shall not be either (i) registered pursuant to an effective registration statement under the Securities Act and under applicable state securities or blue sky laws or (ii) eligible for resale without volume or manner-of-sale restrictions or current public information requirements pursuant to Rule 144, the Company may require, as a condition of allowing such transfer, that the Holder or transferee of this Warrant, as the case may be, comply with the provisions of Section 5.7 of the Purchase Agreement.</w:t>
      </w:r>
    </w:p>
    <w:p>
      <w:pPr>
        <w:spacing w:after="0" w:line="183" w:lineRule="exact"/>
        <w:rPr>
          <w:rFonts w:ascii="Times New Roman" w:cs="Times New Roman" w:eastAsia="Times New Roman" w:hAnsi="Times New Roman"/>
          <w:sz w:val="18"/>
          <w:szCs w:val="18"/>
          <w:color w:val="auto"/>
        </w:rPr>
      </w:pPr>
    </w:p>
    <w:p>
      <w:pPr>
        <w:ind w:right="40" w:firstLine="644"/>
        <w:spacing w:after="0" w:line="261" w:lineRule="auto"/>
        <w:tabs>
          <w:tab w:leader="none" w:pos="833"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 by the Holder</w:t>
      </w:r>
      <w:r>
        <w:rPr>
          <w:rFonts w:ascii="Times New Roman" w:cs="Times New Roman" w:eastAsia="Times New Roman" w:hAnsi="Times New Roman"/>
          <w:sz w:val="18"/>
          <w:szCs w:val="18"/>
          <w:color w:val="auto"/>
        </w:rPr>
        <w:t>. The Holder, by the acceptance hereof, represents and warrants that it is acquiring this Warrant and, upon any exercise hereof, will acquire the Warrant Shares issuable upon such exercise, for its own account and not with a view to or for distributing or reselling such Warrant Shares or any part thereof in violation of the Securities Act or any applicable state securities law, except pursuant to sales registered or exempted under the Securities Act.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4"/>
        <w:spacing w:after="0" w:line="258" w:lineRule="auto"/>
        <w:tabs>
          <w:tab w:leader="none" w:pos="833"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Stockholder Until Exercise; No Settlement in Cash</w:t>
      </w:r>
      <w:r>
        <w:rPr>
          <w:rFonts w:ascii="Times New Roman" w:cs="Times New Roman" w:eastAsia="Times New Roman" w:hAnsi="Times New Roman"/>
          <w:sz w:val="18"/>
          <w:szCs w:val="18"/>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spacing w:after="0" w:line="183" w:lineRule="exact"/>
        <w:rPr>
          <w:rFonts w:ascii="Times New Roman" w:cs="Times New Roman" w:eastAsia="Times New Roman" w:hAnsi="Times New Roman"/>
          <w:sz w:val="18"/>
          <w:szCs w:val="18"/>
          <w:color w:val="auto"/>
        </w:rPr>
      </w:pPr>
    </w:p>
    <w:p>
      <w:pPr>
        <w:ind w:right="120" w:firstLine="644"/>
        <w:spacing w:after="0" w:line="258" w:lineRule="auto"/>
        <w:tabs>
          <w:tab w:leader="none" w:pos="843"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83" w:lineRule="exact"/>
        <w:rPr>
          <w:rFonts w:ascii="Times New Roman" w:cs="Times New Roman" w:eastAsia="Times New Roman" w:hAnsi="Times New Roman"/>
          <w:sz w:val="18"/>
          <w:szCs w:val="18"/>
          <w:color w:val="auto"/>
        </w:rPr>
      </w:pPr>
    </w:p>
    <w:p>
      <w:pPr>
        <w:jc w:val="both"/>
        <w:ind w:right="320" w:firstLine="644"/>
        <w:spacing w:after="0" w:line="312" w:lineRule="auto"/>
        <w:tabs>
          <w:tab w:leader="none" w:pos="833"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Saturdays, Sundays, Holidays, etc</w:t>
      </w:r>
      <w:r>
        <w:rPr>
          <w:rFonts w:ascii="Times New Roman" w:cs="Times New Roman" w:eastAsia="Times New Roman" w:hAnsi="Times New Roman"/>
          <w:sz w:val="17"/>
          <w:szCs w:val="17"/>
          <w:color w:val="auto"/>
        </w:rPr>
        <w:t>. If the last or appointed day for the taking of any action or the expiration of any right required or granted herein shall not be a Trading Day, then, such action may be taken or such right may be exercised on the next succeeding Trading Day.</w:t>
      </w:r>
    </w:p>
    <w:p>
      <w:pPr>
        <w:spacing w:after="0" w:line="139" w:lineRule="exact"/>
        <w:rPr>
          <w:rFonts w:ascii="Times New Roman" w:cs="Times New Roman" w:eastAsia="Times New Roman" w:hAnsi="Times New Roman"/>
          <w:sz w:val="17"/>
          <w:szCs w:val="17"/>
          <w:color w:val="auto"/>
        </w:rPr>
      </w:pPr>
    </w:p>
    <w:p>
      <w:pPr>
        <w:ind w:left="840" w:hanging="196"/>
        <w:spacing w:after="0"/>
        <w:tabs>
          <w:tab w:leader="none" w:pos="8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right="20" w:firstLine="1296"/>
        <w:spacing w:after="0" w:line="253" w:lineRule="auto"/>
        <w:rPr>
          <w:sz w:val="20"/>
          <w:szCs w:val="20"/>
          <w:color w:val="auto"/>
        </w:rPr>
      </w:pPr>
      <w:r>
        <w:rPr>
          <w:rFonts w:ascii="Times New Roman" w:cs="Times New Roman" w:eastAsia="Times New Roman" w:hAnsi="Times New Roman"/>
          <w:sz w:val="18"/>
          <w:szCs w:val="18"/>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200" w:lineRule="exact"/>
        <w:rPr>
          <w:sz w:val="20"/>
          <w:szCs w:val="20"/>
          <w:color w:val="auto"/>
        </w:rPr>
      </w:pPr>
    </w:p>
    <w:p>
      <w:pPr>
        <w:spacing w:after="0" w:line="20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58" w:name="page59"/>
    <w:bookmarkEnd w:id="58"/>
    <w:p>
      <w:pPr>
        <w:ind w:left="180" w:right="40" w:firstLine="648"/>
        <w:spacing w:after="0" w:line="253"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94" w:lineRule="exact"/>
        <w:rPr>
          <w:sz w:val="20"/>
          <w:szCs w:val="20"/>
          <w:color w:val="auto"/>
        </w:rPr>
      </w:pPr>
    </w:p>
    <w:p>
      <w:pPr>
        <w:ind w:left="180" w:right="80" w:firstLine="648"/>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ind w:left="-460" w:right="80" w:firstLine="644"/>
        <w:spacing w:after="0" w:line="282" w:lineRule="auto"/>
        <w:tabs>
          <w:tab w:leader="none" w:pos="37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All questions concerning the construction, validity, enforcement and interpretation of this Warrant shall be determined in accordance with the provisions of the Purchase Agreement.</w:t>
      </w:r>
    </w:p>
    <w:p>
      <w:pPr>
        <w:spacing w:after="0" w:line="161" w:lineRule="exact"/>
        <w:rPr>
          <w:rFonts w:ascii="Times New Roman" w:cs="Times New Roman" w:eastAsia="Times New Roman" w:hAnsi="Times New Roman"/>
          <w:sz w:val="18"/>
          <w:szCs w:val="18"/>
          <w:color w:val="auto"/>
        </w:rPr>
      </w:pPr>
    </w:p>
    <w:p>
      <w:pPr>
        <w:ind w:left="-460" w:right="220" w:firstLine="644"/>
        <w:spacing w:after="0" w:line="282" w:lineRule="auto"/>
        <w:tabs>
          <w:tab w:leader="none" w:pos="35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61" w:lineRule="exact"/>
        <w:rPr>
          <w:rFonts w:ascii="Times New Roman" w:cs="Times New Roman" w:eastAsia="Times New Roman" w:hAnsi="Times New Roman"/>
          <w:sz w:val="18"/>
          <w:szCs w:val="18"/>
          <w:color w:val="auto"/>
        </w:rPr>
      </w:pPr>
    </w:p>
    <w:p>
      <w:pPr>
        <w:ind w:left="-460" w:firstLine="644"/>
        <w:spacing w:after="0" w:line="255" w:lineRule="auto"/>
        <w:tabs>
          <w:tab w:leader="none" w:pos="38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notwithstanding the fact that the right to exercise this Warrant terminates on the Termination Date. Without limiting any other provision of this Warrant or the Purchase Agreement,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and documented attorneys’ fees, including those of appellate proceedings, incurred by the Holder in collecting any amounts due pursuant hereto or in otherwise enforcing any of its rights, powers or remedies hereunder.</w:t>
      </w:r>
    </w:p>
    <w:p>
      <w:pPr>
        <w:spacing w:after="0" w:line="200" w:lineRule="exact"/>
        <w:rPr>
          <w:sz w:val="20"/>
          <w:szCs w:val="20"/>
          <w:color w:val="auto"/>
        </w:rPr>
      </w:pPr>
    </w:p>
    <w:p>
      <w:pPr>
        <w:spacing w:after="0" w:line="20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60"/>
          </w:cols>
          <w:pgMar w:left="1440" w:top="904" w:right="399" w:bottom="1440" w:gutter="0" w:footer="0" w:header="0"/>
        </w:sectPr>
      </w:pPr>
    </w:p>
    <w:bookmarkStart w:id="59" w:name="page60"/>
    <w:bookmarkEnd w:id="59"/>
    <w:p>
      <w:pPr>
        <w:ind w:left="-460" w:right="180" w:firstLine="644"/>
        <w:spacing w:after="0" w:line="282" w:lineRule="auto"/>
        <w:tabs>
          <w:tab w:leader="none" w:pos="38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or other document required or permitted to be given or delivered to the Holder by the Company shall be delivered to the address for the Holder in the Warrant Register.</w:t>
      </w:r>
    </w:p>
    <w:p>
      <w:pPr>
        <w:spacing w:after="0" w:line="161" w:lineRule="exact"/>
        <w:rPr>
          <w:rFonts w:ascii="Times New Roman" w:cs="Times New Roman" w:eastAsia="Times New Roman" w:hAnsi="Times New Roman"/>
          <w:sz w:val="18"/>
          <w:szCs w:val="18"/>
          <w:color w:val="auto"/>
        </w:rPr>
      </w:pPr>
    </w:p>
    <w:p>
      <w:pPr>
        <w:ind w:left="-460" w:right="40" w:firstLine="644"/>
        <w:spacing w:after="0" w:line="261" w:lineRule="auto"/>
        <w:tabs>
          <w:tab w:leader="none" w:pos="34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79"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34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79" w:lineRule="exact"/>
        <w:rPr>
          <w:rFonts w:ascii="Times New Roman" w:cs="Times New Roman" w:eastAsia="Times New Roman" w:hAnsi="Times New Roman"/>
          <w:sz w:val="18"/>
          <w:szCs w:val="18"/>
          <w:color w:val="auto"/>
        </w:rPr>
      </w:pPr>
    </w:p>
    <w:p>
      <w:pPr>
        <w:ind w:left="-460" w:right="80" w:firstLine="644"/>
        <w:spacing w:after="0" w:line="261" w:lineRule="auto"/>
        <w:tabs>
          <w:tab w:leader="none" w:pos="38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79" w:lineRule="exact"/>
        <w:rPr>
          <w:rFonts w:ascii="Times New Roman" w:cs="Times New Roman" w:eastAsia="Times New Roman" w:hAnsi="Times New Roman"/>
          <w:sz w:val="18"/>
          <w:szCs w:val="18"/>
          <w:color w:val="auto"/>
        </w:rPr>
      </w:pPr>
    </w:p>
    <w:p>
      <w:pPr>
        <w:ind w:left="-460" w:right="180" w:firstLine="644"/>
        <w:spacing w:after="0" w:line="282" w:lineRule="auto"/>
        <w:tabs>
          <w:tab w:leader="none" w:pos="34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Other than Section 2(e) and this Section 5(l), this Warrant may be modified or amended or the provisions hereof waived with the written consent of the Company, on the one hand, and the Holder of this Warrant, on the other hand.</w:t>
      </w:r>
    </w:p>
    <w:p>
      <w:pPr>
        <w:spacing w:after="0" w:line="161" w:lineRule="exact"/>
        <w:rPr>
          <w:rFonts w:ascii="Times New Roman" w:cs="Times New Roman" w:eastAsia="Times New Roman" w:hAnsi="Times New Roman"/>
          <w:sz w:val="18"/>
          <w:szCs w:val="18"/>
          <w:color w:val="auto"/>
        </w:rPr>
      </w:pPr>
    </w:p>
    <w:p>
      <w:pPr>
        <w:ind w:left="-460" w:right="40" w:firstLine="644"/>
        <w:spacing w:after="0" w:line="266" w:lineRule="auto"/>
        <w:tabs>
          <w:tab w:leader="none" w:pos="43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75" w:lineRule="exact"/>
        <w:rPr>
          <w:rFonts w:ascii="Times New Roman" w:cs="Times New Roman" w:eastAsia="Times New Roman" w:hAnsi="Times New Roman"/>
          <w:sz w:val="18"/>
          <w:szCs w:val="18"/>
          <w:color w:val="auto"/>
        </w:rPr>
      </w:pPr>
    </w:p>
    <w:p>
      <w:pPr>
        <w:ind w:left="-460" w:right="20" w:firstLine="644"/>
        <w:spacing w:after="0" w:line="282" w:lineRule="auto"/>
        <w:tabs>
          <w:tab w:leader="none" w:pos="38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161" w:lineRule="exact"/>
        <w:rPr>
          <w:rFonts w:ascii="Times New Roman" w:cs="Times New Roman" w:eastAsia="Times New Roman" w:hAnsi="Times New Roman"/>
          <w:sz w:val="18"/>
          <w:szCs w:val="18"/>
          <w:color w:val="auto"/>
        </w:rPr>
      </w:pPr>
    </w:p>
    <w:p>
      <w:pPr>
        <w:ind w:left="-460" w:right="80" w:firstLine="644"/>
        <w:spacing w:after="0" w:line="282" w:lineRule="auto"/>
        <w:tabs>
          <w:tab w:leader="none" w:pos="383"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Signatures</w:t>
      </w:r>
      <w:r>
        <w:rPr>
          <w:rFonts w:ascii="Times New Roman" w:cs="Times New Roman" w:eastAsia="Times New Roman" w:hAnsi="Times New Roman"/>
          <w:sz w:val="18"/>
          <w:szCs w:val="18"/>
          <w:color w:val="auto"/>
        </w:rPr>
        <w:t>. Electronically scanned and transmitted signatures, including by email attachment, shall be deemed originals for all purposes of this Warrant.</w:t>
      </w:r>
    </w:p>
    <w:p>
      <w:pPr>
        <w:spacing w:after="0" w:line="162"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4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60" w:name="page61"/>
    <w:bookmarkEnd w:id="60"/>
    <w:p>
      <w:pPr>
        <w:ind w:firstLine="1296"/>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Warrant to be executed by its officer thereunto duly authorized as of the date first above indicated.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BLUEJAY DIAGNOSTICS, INC.</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904" w:right="619" w:bottom="1440" w:gutter="0" w:footer="0" w:header="0"/>
        </w:sectPr>
      </w:pPr>
    </w:p>
    <w:bookmarkStart w:id="61" w:name="page62"/>
    <w:bookmarkEnd w:id="61"/>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b w:val="1"/>
          <w:bCs w:val="1"/>
          <w:color w:val="auto"/>
        </w:rPr>
        <w:t>BLUEJAY DIAGNOSTICS, INC.</w:t>
      </w:r>
    </w:p>
    <w:p>
      <w:pPr>
        <w:spacing w:after="0" w:line="229" w:lineRule="exact"/>
        <w:rPr>
          <w:sz w:val="20"/>
          <w:szCs w:val="20"/>
          <w:color w:val="auto"/>
        </w:rPr>
      </w:pPr>
    </w:p>
    <w:p>
      <w:pPr>
        <w:ind w:right="100" w:firstLine="1304"/>
        <w:spacing w:after="0" w:line="282" w:lineRule="auto"/>
        <w:tabs>
          <w:tab w:leader="none" w:pos="154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8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lawful money of the United States; or</w:t>
      </w:r>
    </w:p>
    <w:p>
      <w:pPr>
        <w:spacing w:after="0" w:line="225" w:lineRule="exact"/>
        <w:rPr>
          <w:rFonts w:ascii="MS PGothic" w:cs="MS PGothic" w:eastAsia="MS PGothic" w:hAnsi="MS PGothic"/>
          <w:sz w:val="18"/>
          <w:szCs w:val="18"/>
          <w:color w:val="auto"/>
        </w:rPr>
      </w:pPr>
    </w:p>
    <w:p>
      <w:pPr>
        <w:jc w:val="both"/>
        <w:ind w:left="1960" w:right="180" w:hanging="8"/>
        <w:spacing w:after="0" w:line="266" w:lineRule="auto"/>
        <w:tabs>
          <w:tab w:leader="none" w:pos="2167" w:val="left"/>
        </w:tabs>
        <w:numPr>
          <w:ilvl w:val="1"/>
          <w:numId w:val="8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75" w:lineRule="exact"/>
        <w:rPr>
          <w:rFonts w:ascii="MS PGothic" w:cs="MS PGothic" w:eastAsia="MS PGothic" w:hAnsi="MS PGothic"/>
          <w:sz w:val="18"/>
          <w:szCs w:val="18"/>
          <w:color w:val="auto"/>
        </w:rPr>
      </w:pPr>
    </w:p>
    <w:p>
      <w:pPr>
        <w:ind w:left="1560" w:hanging="256"/>
        <w:spacing w:after="0"/>
        <w:tabs>
          <w:tab w:leader="none" w:pos="15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_______________________________</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560" w:hanging="256"/>
        <w:spacing w:after="0"/>
        <w:tabs>
          <w:tab w:leader="none" w:pos="156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Accredited Investor</w:t>
      </w:r>
      <w:r>
        <w:rPr>
          <w:rFonts w:ascii="Times New Roman" w:cs="Times New Roman" w:eastAsia="Times New Roman" w:hAnsi="Times New Roman"/>
          <w:sz w:val="17"/>
          <w:szCs w:val="17"/>
          <w:color w:val="auto"/>
        </w:rPr>
        <w:t>. The undersigned is an “accredited investor” as defined in Regulation D promulgated under the Securities Act of</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1933, as amended.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 ________________________________________________________________________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 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900" w:right="45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3" w:lineRule="exact"/>
        <w:rPr>
          <w:sz w:val="20"/>
          <w:szCs w:val="20"/>
          <w:color w:val="auto"/>
        </w:rPr>
      </w:pPr>
    </w:p>
    <w:p>
      <w:pPr>
        <w:ind w:left="200" w:right="200"/>
        <w:spacing w:after="0" w:line="502" w:lineRule="auto"/>
        <w:rPr>
          <w:sz w:val="20"/>
          <w:szCs w:val="20"/>
          <w:color w:val="auto"/>
        </w:rPr>
      </w:pPr>
      <w:r>
        <w:rPr>
          <w:rFonts w:ascii="Times New Roman" w:cs="Times New Roman" w:eastAsia="Times New Roman" w:hAnsi="Times New Roman"/>
          <w:sz w:val="18"/>
          <w:szCs w:val="18"/>
          <w:i w:val="1"/>
          <w:iCs w:val="1"/>
          <w:color w:val="auto"/>
        </w:rPr>
        <w:t xml:space="preserve">(To assign the foregoing Warrant, execute this form and supply required information. Do not use this form to exercise the Warrant to purchase shares.) </w:t>
      </w:r>
      <w:r>
        <w:rPr>
          <w:rFonts w:ascii="Times New Roman" w:cs="Times New Roman" w:eastAsia="Times New Roman" w:hAnsi="Times New Roman"/>
          <w:sz w:val="18"/>
          <w:szCs w:val="18"/>
          <w:color w:val="auto"/>
        </w:rPr>
        <w:t>FOR VALUE RECEIVED, the foregoing Warrant and all rights evidenced thereby are hereby assigned to</w:t>
      </w: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5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Address:</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(Please Print)</w:t>
            </w:r>
          </w:p>
        </w:tc>
        <w:tc>
          <w:tcPr>
            <w:tcW w:w="0" w:type="dxa"/>
            <w:vAlign w:val="bottom"/>
          </w:tcPr>
          <w:p>
            <w:pPr>
              <w:spacing w:after="0"/>
              <w:rPr>
                <w:sz w:val="1"/>
                <w:szCs w:val="1"/>
                <w:color w:val="auto"/>
              </w:rPr>
            </w:pPr>
          </w:p>
        </w:tc>
      </w:tr>
      <w:tr>
        <w:trPr>
          <w:trHeight w:val="198"/>
        </w:trPr>
        <w:tc>
          <w:tcPr>
            <w:tcW w:w="5620" w:type="dxa"/>
            <w:vAlign w:val="bottom"/>
            <w:vMerge w:val="continue"/>
          </w:tcPr>
          <w:p>
            <w:pPr>
              <w:spacing w:after="0"/>
              <w:rPr>
                <w:sz w:val="17"/>
                <w:szCs w:val="17"/>
                <w:color w:val="auto"/>
              </w:rPr>
            </w:pPr>
          </w:p>
        </w:tc>
        <w:tc>
          <w:tcPr>
            <w:tcW w:w="56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5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Phone Number:</w:t>
            </w: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(Please Print)</w:t>
            </w:r>
          </w:p>
        </w:tc>
        <w:tc>
          <w:tcPr>
            <w:tcW w:w="0" w:type="dxa"/>
            <w:vAlign w:val="bottom"/>
          </w:tcPr>
          <w:p>
            <w:pPr>
              <w:spacing w:after="0"/>
              <w:rPr>
                <w:sz w:val="1"/>
                <w:szCs w:val="1"/>
                <w:color w:val="auto"/>
              </w:rPr>
            </w:pPr>
          </w:p>
        </w:tc>
      </w:tr>
      <w:tr>
        <w:trPr>
          <w:trHeight w:val="234"/>
        </w:trPr>
        <w:tc>
          <w:tcPr>
            <w:tcW w:w="5620" w:type="dxa"/>
            <w:vAlign w:val="bottom"/>
            <w:vMerge w:val="continue"/>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tc>
        <w:tc>
          <w:tcPr>
            <w:tcW w:w="0" w:type="dxa"/>
            <w:vAlign w:val="bottom"/>
          </w:tcPr>
          <w:p>
            <w:pPr>
              <w:spacing w:after="0"/>
              <w:rPr>
                <w:sz w:val="1"/>
                <w:szCs w:val="1"/>
                <w:color w:val="auto"/>
              </w:rPr>
            </w:pPr>
          </w:p>
        </w:tc>
      </w:tr>
      <w:tr>
        <w:trPr>
          <w:trHeight w:val="432"/>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Email Address:</w:t>
            </w: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tc>
        <w:tc>
          <w:tcPr>
            <w:tcW w:w="0" w:type="dxa"/>
            <w:vAlign w:val="bottom"/>
          </w:tcPr>
          <w:p>
            <w:pPr>
              <w:spacing w:after="0"/>
              <w:rPr>
                <w:sz w:val="1"/>
                <w:szCs w:val="1"/>
                <w:color w:val="auto"/>
              </w:rPr>
            </w:pPr>
          </w:p>
        </w:tc>
      </w:tr>
      <w:tr>
        <w:trPr>
          <w:trHeight w:val="432"/>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Dated: _______________ __, ______</w:t>
            </w: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Holder’s Signature:______________________</w:t>
            </w: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Holder’s Address: _______________________</w:t>
            </w:r>
          </w:p>
        </w:tc>
        <w:tc>
          <w:tcPr>
            <w:tcW w:w="5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2"/>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This Securities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June 2, 2026, between Bluejay Diagnostics,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purchaser identified on the signature pages hereto (each, including its successors and assigns,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WHEREAS, subject to the terms and conditions set forth in this Agreement and pursuant to Section 4(a)(2) of the Securities Act (as defined below), and/or Rule 506 of Regulation D promulgated thereunder, the Company desires to issue and sell to each Purchaser, and each Purchaser, severally and not jointly, desires to purchase from the Company, securities of the Company as more fully described in this Agreement.</w:t>
      </w:r>
    </w:p>
    <w:p>
      <w:pPr>
        <w:spacing w:after="0" w:line="17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07"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Agreement, for all purposes of this Agreement, the following terms have the meanings set forth in this Section 1.1:</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shall have the meaning ascribed to such term in Section 4.5.</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shall have the meaning ascribed to such term in Section 3.1(j).</w:t>
      </w:r>
    </w:p>
    <w:p>
      <w:pPr>
        <w:spacing w:after="0" w:line="225" w:lineRule="exact"/>
        <w:rPr>
          <w:sz w:val="20"/>
          <w:szCs w:val="20"/>
          <w:color w:val="auto"/>
        </w:rPr>
      </w:pPr>
    </w:p>
    <w:p>
      <w:pPr>
        <w:ind w:left="660" w:right="160" w:firstLine="32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BHCA</w:t>
      </w:r>
      <w:r>
        <w:rPr>
          <w:rFonts w:ascii="Times New Roman" w:cs="Times New Roman" w:eastAsia="Times New Roman" w:hAnsi="Times New Roman"/>
          <w:sz w:val="18"/>
          <w:szCs w:val="18"/>
          <w:color w:val="auto"/>
        </w:rPr>
        <w:t>” shall have the meaning ascribed to such term in Section 3.1(vv).</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left="660" w:right="40" w:firstLine="324"/>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other than Saturday, Sunday or other day on which commercial banks in The City of New York are authorized or required by law to remain 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means the closing of the purchase and sale of the Shares and the Warrants pursuant to Section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4" w:name="page65"/>
    <w:bookmarkEnd w:id="64"/>
    <w:p>
      <w:pPr>
        <w:ind w:firstLine="32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Shares and the Warrants, in each case, have been satisfied or waived.</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 par value $0.0001 per share, and any other class of securities into which such securities may hereafter be reclassified or changed.</w:t>
      </w:r>
    </w:p>
    <w:p>
      <w:pPr>
        <w:spacing w:after="0" w:line="162"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Warrants</w:t>
      </w:r>
      <w:r>
        <w:rPr>
          <w:rFonts w:ascii="Times New Roman" w:cs="Times New Roman" w:eastAsia="Times New Roman" w:hAnsi="Times New Roman"/>
          <w:sz w:val="18"/>
          <w:szCs w:val="18"/>
          <w:color w:val="auto"/>
        </w:rPr>
        <w:t>” means, collectively, the Series G Common Warrants and the Series H Common Warrants.</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Warrant Shares</w:t>
      </w:r>
      <w:r>
        <w:rPr>
          <w:rFonts w:ascii="Times New Roman" w:cs="Times New Roman" w:eastAsia="Times New Roman" w:hAnsi="Times New Roman"/>
          <w:sz w:val="18"/>
          <w:szCs w:val="18"/>
          <w:color w:val="auto"/>
        </w:rPr>
        <w:t>” means the shares of Common Stock issuable upon exercise of the Common Warrants.</w:t>
      </w:r>
    </w:p>
    <w:p>
      <w:pPr>
        <w:spacing w:after="0" w:line="225"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Counsel</w:t>
      </w:r>
      <w:r>
        <w:rPr>
          <w:rFonts w:ascii="Times New Roman" w:cs="Times New Roman" w:eastAsia="Times New Roman" w:hAnsi="Times New Roman"/>
          <w:sz w:val="18"/>
          <w:szCs w:val="18"/>
          <w:color w:val="auto"/>
        </w:rPr>
        <w:t>” means Hogan Lovells US LLP, with offices located at Columbia Square, 555 Thirteenth Street, NW, Washington, DC 20004.</w:t>
      </w:r>
    </w:p>
    <w:p>
      <w:pPr>
        <w:spacing w:after="0" w:line="162"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Time</w:t>
      </w:r>
      <w:r>
        <w:rPr>
          <w:rFonts w:ascii="Times New Roman" w:cs="Times New Roman" w:eastAsia="Times New Roman" w:hAnsi="Times New Roman"/>
          <w:sz w:val="18"/>
          <w:szCs w:val="18"/>
          <w:color w:val="auto"/>
        </w:rPr>
        <w:t>” means, (i)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the Placement Agent, and (ii) if this Agreement is signed between midnight (New York City time) and 9:00 a.m. (New York City time) on any Trading Day, no later than 9:01 a.m. (New York City time) on the date hereof, unless otherwise instructed as to an earlier time by the Placement Agent.</w:t>
      </w:r>
    </w:p>
    <w:p>
      <w:pPr>
        <w:spacing w:after="0" w:line="183"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the earliest of the date that (a) the initial Registration Statement registering for resale all Shares and Warrant Shares has been declared effective by the Commission, (b) all of the Shares and Warrant Shares have been sold pursuant to Rule 144 or may be sold pursuant to Rule 144 without the requirement for the Company to be in compliance with the current public information required under Rule 144 and without volume or manner-of-sale restrictions, (c) following the one year anniversary of the Closing Date provided that a holder of Shares or Warrant Shares is not an Affiliate of the Company, or (d) all of the Shares and Warrant Shares may be sold pursuant to an exemption from registration under Section 4(a)(1) of the Securities Act without volume or manner-of-sale restrictions and Company Counsel has delivered to such holders a standing written unqualified opinion that resales may then be made by such holders of the Shares and Warrant Shares pursuant to such exemption which opinion shall be in form and substance reasonably acceptable to such holders.</w:t>
      </w:r>
    </w:p>
    <w:p>
      <w:pPr>
        <w:spacing w:after="0" w:line="200" w:lineRule="exact"/>
        <w:rPr>
          <w:sz w:val="20"/>
          <w:szCs w:val="20"/>
          <w:color w:val="auto"/>
        </w:rPr>
      </w:pPr>
    </w:p>
    <w:p>
      <w:pPr>
        <w:spacing w:after="0" w:line="20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337" w:right="359" w:bottom="1440" w:gutter="0" w:footer="0" w:header="0"/>
        </w:sectPr>
      </w:pPr>
    </w:p>
    <w:bookmarkStart w:id="65" w:name="page66"/>
    <w:bookmarkEnd w:id="65"/>
    <w:p>
      <w:pPr>
        <w:ind w:left="3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Escrow Agent</w:t>
      </w:r>
      <w:r>
        <w:rPr>
          <w:rFonts w:ascii="Times New Roman" w:cs="Times New Roman" w:eastAsia="Times New Roman" w:hAnsi="Times New Roman"/>
          <w:sz w:val="17"/>
          <w:szCs w:val="17"/>
          <w:color w:val="auto"/>
        </w:rPr>
        <w:t>” means Continental Stock Transfer &amp; Trust Company, with offices at 1 State Street,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Floor, New York, New York 10004.</w:t>
      </w:r>
    </w:p>
    <w:p>
      <w:pPr>
        <w:spacing w:after="0" w:line="147"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Escrow Agreement</w:t>
      </w:r>
      <w:r>
        <w:rPr>
          <w:rFonts w:ascii="Times New Roman" w:cs="Times New Roman" w:eastAsia="Times New Roman" w:hAnsi="Times New Roman"/>
          <w:sz w:val="18"/>
          <w:szCs w:val="18"/>
          <w:color w:val="auto"/>
        </w:rPr>
        <w:t>” means the escrow agreement entered into, by and among the Company, the Escrow Agent and the Placement Agent pursuant to which the Purchasers shall deposit Subscription Amounts with the Escrow Agent to be applied to the transactions contemplated hereunder.</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shall have the meaning ascribed to such term in Section 3.1(s).</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Exempt Issuance</w:t>
      </w:r>
      <w:r>
        <w:rPr>
          <w:rFonts w:ascii="Times New Roman" w:cs="Times New Roman" w:eastAsia="Times New Roman" w:hAnsi="Times New Roman"/>
          <w:sz w:val="18"/>
          <w:szCs w:val="18"/>
          <w:color w:val="auto"/>
        </w:rPr>
        <w:t>” means the issuance of (a) shares of Common Stock or options to employees, officers or directors of the Company pursuant to any stock or option plan duly adopted for such purpose or as an inducement award pursuant to Nasdaq Listing Rule 5635(c)(4) (provided that such indument awards are issued as “restricted securities” (as defined in Rule 144) and carry no registration rights that require or permit the filing of any registration statement in connection therewith during the prohibition period in Section 4.12(a) herein), by a majority of the non-employee members of the Board of Directors or a majority of the members of a committee of non-employee directors established for such purpose for services rendered to the Company, (b) warrants to the Placement Agent in connection with the transactions pursuant to this Agreement and any shares of Common Stock upon exercise of such warrants by the Placement Agent, if applicable, and/or shares of Common Stock upon the exercise or exchange of or conversion of any Securities issued hereunder and/or other securities exercisable or exchangeable for or convertible into shares of Common Stock issued and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and (c) securities issued pursuant to acquisitions or strategic transactions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prohibition period in Section 4.12(a) herein,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means the Foreign Corrupt Practices Act of 1977, as amended.</w:t>
      </w:r>
    </w:p>
    <w:p>
      <w:pPr>
        <w:spacing w:after="0" w:line="200" w:lineRule="exact"/>
        <w:rPr>
          <w:sz w:val="20"/>
          <w:szCs w:val="20"/>
          <w:color w:val="auto"/>
        </w:rPr>
      </w:pPr>
    </w:p>
    <w:p>
      <w:pPr>
        <w:spacing w:after="0" w:line="24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341" w:right="359" w:bottom="1440" w:gutter="0" w:footer="0" w:header="0"/>
        </w:sectPr>
      </w:pPr>
    </w:p>
    <w:bookmarkStart w:id="66" w:name="page67"/>
    <w:bookmarkEnd w:id="66"/>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shall have the meaning ascribed to such term in Section 3.1(ll).</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FDCA</w:t>
      </w:r>
      <w:r>
        <w:rPr>
          <w:rFonts w:ascii="Times New Roman" w:cs="Times New Roman" w:eastAsia="Times New Roman" w:hAnsi="Times New Roman"/>
          <w:sz w:val="18"/>
          <w:szCs w:val="18"/>
          <w:color w:val="auto"/>
        </w:rPr>
        <w:t>” shall have the meaning ascribed to such term in Section 3.1(ll).</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Reserve</w:t>
      </w:r>
      <w:r>
        <w:rPr>
          <w:rFonts w:ascii="Times New Roman" w:cs="Times New Roman" w:eastAsia="Times New Roman" w:hAnsi="Times New Roman"/>
          <w:sz w:val="18"/>
          <w:szCs w:val="18"/>
          <w:color w:val="auto"/>
        </w:rPr>
        <w:t>” shall have the meaning ascribed to such term in Section 3.1(vv).</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shall have the meaning ascribed to such term in Section 3.1(h).</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GDPR</w:t>
      </w:r>
      <w:r>
        <w:rPr>
          <w:rFonts w:ascii="Times New Roman" w:cs="Times New Roman" w:eastAsia="Times New Roman" w:hAnsi="Times New Roman"/>
          <w:sz w:val="18"/>
          <w:szCs w:val="18"/>
          <w:color w:val="auto"/>
        </w:rPr>
        <w:t>” shall have the meaning ascribed to such term in Section 3.1(vv).</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shall have the meaning ascribed to such term in Section 3.1(bb).</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shall have the meaning ascribed to such term in Section 3.1(p).</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Legend Removal Date</w:t>
      </w:r>
      <w:r>
        <w:rPr>
          <w:rFonts w:ascii="Times New Roman" w:cs="Times New Roman" w:eastAsia="Times New Roman" w:hAnsi="Times New Roman"/>
          <w:sz w:val="18"/>
          <w:szCs w:val="18"/>
          <w:color w:val="auto"/>
        </w:rPr>
        <w:t>” shall have the meaning ascribed to such term in Section 4.1(c).</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 lien, charge, pledge, security interest, encumbrance, right of first refusal, preemptive right or other restriction.</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have the meaning assigned to such term in Section 3.1(b).</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shall have the meaning ascribed to such term in Section 3.1(n).</w:t>
      </w:r>
    </w:p>
    <w:p>
      <w:pPr>
        <w:spacing w:after="0" w:line="22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Purchase Price</w:t>
      </w:r>
      <w:r>
        <w:rPr>
          <w:rFonts w:ascii="Times New Roman" w:cs="Times New Roman" w:eastAsia="Times New Roman" w:hAnsi="Times New Roman"/>
          <w:sz w:val="18"/>
          <w:szCs w:val="18"/>
          <w:color w:val="auto"/>
        </w:rPr>
        <w:t>” equals $2.325, subject to adjustment for reverse and forward stock splits, stock dividends, stock combinations and other similar transactions of the Common Stock that occur after the date of this Agreement and prior to the Closing Date, provided that the purchase price per Pre-Funded Warrant shall be the Per Share Purchase Price minus $0.0001.</w:t>
      </w:r>
    </w:p>
    <w:p>
      <w:pPr>
        <w:spacing w:after="0" w:line="176"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shall have the meaning ascribed to such term in Section 3.1(ll).</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Pharmaceutical Product</w:t>
      </w:r>
      <w:r>
        <w:rPr>
          <w:rFonts w:ascii="Times New Roman" w:cs="Times New Roman" w:eastAsia="Times New Roman" w:hAnsi="Times New Roman"/>
          <w:sz w:val="18"/>
          <w:szCs w:val="18"/>
          <w:color w:val="auto"/>
        </w:rPr>
        <w:t>” shall have the meaning ascribed to such term in Section 3.1(ll).</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Placement Agent</w:t>
      </w:r>
      <w:r>
        <w:rPr>
          <w:rFonts w:ascii="Times New Roman" w:cs="Times New Roman" w:eastAsia="Times New Roman" w:hAnsi="Times New Roman"/>
          <w:sz w:val="18"/>
          <w:szCs w:val="18"/>
          <w:color w:val="auto"/>
        </w:rPr>
        <w:t>” means H.C. Wainwright &amp; Co., LLC.</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Policies</w:t>
      </w:r>
      <w:r>
        <w:rPr>
          <w:rFonts w:ascii="Times New Roman" w:cs="Times New Roman" w:eastAsia="Times New Roman" w:hAnsi="Times New Roman"/>
          <w:sz w:val="18"/>
          <w:szCs w:val="18"/>
          <w:color w:val="auto"/>
        </w:rPr>
        <w:t>” shall have the meaning ascribed to such term in Section 3.1(ll).</w:t>
      </w:r>
    </w:p>
    <w:p>
      <w:pPr>
        <w:spacing w:after="0" w:line="200" w:lineRule="exact"/>
        <w:rPr>
          <w:sz w:val="20"/>
          <w:szCs w:val="20"/>
          <w:color w:val="auto"/>
        </w:rPr>
      </w:pPr>
    </w:p>
    <w:p>
      <w:pPr>
        <w:spacing w:after="0" w:line="24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0"/>
          </w:cols>
          <w:pgMar w:left="980" w:top="337" w:right="379" w:bottom="1440" w:gutter="0" w:footer="0" w:header="0"/>
        </w:sectPr>
      </w:pPr>
    </w:p>
    <w:bookmarkStart w:id="67" w:name="page68"/>
    <w:bookmarkEnd w:id="67"/>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Pre-Funded Warrants</w:t>
      </w:r>
      <w:r>
        <w:rPr>
          <w:rFonts w:ascii="Times New Roman" w:cs="Times New Roman" w:eastAsia="Times New Roman" w:hAnsi="Times New Roman"/>
          <w:sz w:val="18"/>
          <w:szCs w:val="18"/>
          <w:color w:val="auto"/>
        </w:rPr>
        <w:t xml:space="preserve">” means, collectively, the pre-funded Common Stock purchase warrants delivered to the Purchasers at the Closing in accordance with Section 2.2(a) hereof, which Pre-Funded Warrants shall be exercisable immediately and will expire when exercised in full, in the form of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attached hereto.</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Pre-Funded Warrant Shares</w:t>
      </w:r>
      <w:r>
        <w:rPr>
          <w:rFonts w:ascii="Times New Roman" w:cs="Times New Roman" w:eastAsia="Times New Roman" w:hAnsi="Times New Roman"/>
          <w:sz w:val="18"/>
          <w:szCs w:val="18"/>
          <w:color w:val="auto"/>
        </w:rPr>
        <w:t>” means the shares of Common Stock issuable upon exercise of the Pre-Funded Warrants.</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Privacy Laws</w:t>
      </w:r>
      <w:r>
        <w:rPr>
          <w:rFonts w:ascii="Times New Roman" w:cs="Times New Roman" w:eastAsia="Times New Roman" w:hAnsi="Times New Roman"/>
          <w:sz w:val="18"/>
          <w:szCs w:val="18"/>
          <w:color w:val="auto"/>
        </w:rPr>
        <w:t>” shall have the meaning ascribed to such term in Section 3.1(ll).</w:t>
      </w:r>
    </w:p>
    <w:p>
      <w:pPr>
        <w:spacing w:after="0" w:line="225"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 action, claim, suit, investigation or proceeding (including, without limitation, an informal investigation or partial proceeding, such as a deposition), whether commenced or threatened.</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Information Failure</w:t>
      </w:r>
      <w:r>
        <w:rPr>
          <w:rFonts w:ascii="Times New Roman" w:cs="Times New Roman" w:eastAsia="Times New Roman" w:hAnsi="Times New Roman"/>
          <w:sz w:val="18"/>
          <w:szCs w:val="18"/>
          <w:color w:val="auto"/>
        </w:rPr>
        <w:t>” shall have the meaning ascribed to such term in Section 4.2(b).</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Information Failure Payments</w:t>
      </w:r>
      <w:r>
        <w:rPr>
          <w:rFonts w:ascii="Times New Roman" w:cs="Times New Roman" w:eastAsia="Times New Roman" w:hAnsi="Times New Roman"/>
          <w:sz w:val="18"/>
          <w:szCs w:val="18"/>
          <w:color w:val="auto"/>
        </w:rPr>
        <w:t>” shall have the meaning ascribed to such term in Section 4.2(b).</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shall have the meaning ascribed to such term in Section 4.8.</w:t>
      </w:r>
    </w:p>
    <w:p>
      <w:pPr>
        <w:spacing w:after="0" w:line="225"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xml:space="preserve">” means the Registration Rights Agreement, dated on or about the date hereof, among the Company and the Purchasers,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a registration statement meeting the requirements set forth in the Registration Rights Agreement and covering the resale by the Purchasers of the Shares and the Warrant Shares.</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 shall have the meaning ascribed to such term in Section 3.1(e).</w:t>
      </w:r>
    </w:p>
    <w:p>
      <w:pPr>
        <w:spacing w:after="0" w:line="225"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shall have the meaning ascribed to such term in Section 3.1(h).</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means the Shares, the Warrants and the Warrant Shares.</w:t>
      </w:r>
    </w:p>
    <w:p>
      <w:pPr>
        <w:spacing w:after="0" w:line="200" w:lineRule="exact"/>
        <w:rPr>
          <w:sz w:val="20"/>
          <w:szCs w:val="20"/>
          <w:color w:val="auto"/>
        </w:rPr>
      </w:pPr>
    </w:p>
    <w:p>
      <w:pPr>
        <w:spacing w:after="0" w:line="24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68" w:name="page69"/>
    <w:bookmarkEnd w:id="68"/>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G Common Warrants</w:t>
      </w:r>
      <w:r>
        <w:rPr>
          <w:rFonts w:ascii="Times New Roman" w:cs="Times New Roman" w:eastAsia="Times New Roman" w:hAnsi="Times New Roman"/>
          <w:sz w:val="18"/>
          <w:szCs w:val="18"/>
          <w:color w:val="auto"/>
        </w:rPr>
        <w:t xml:space="preserve">” means the Common Stock purchase warrants delivered to the Purchasers at the Closing in accordance with Section 2.2(a) hereof, which such Common Warrants shall be exercisable immediately upon issuance and have a term of exercise equal to five (5) years following the Effective Date, in the form of </w:t>
      </w:r>
      <w:r>
        <w:rPr>
          <w:rFonts w:ascii="Times New Roman" w:cs="Times New Roman" w:eastAsia="Times New Roman" w:hAnsi="Times New Roman"/>
          <w:sz w:val="18"/>
          <w:szCs w:val="18"/>
          <w:u w:val="single" w:color="auto"/>
          <w:color w:val="auto"/>
        </w:rPr>
        <w:t>Exhibit B-1</w:t>
      </w:r>
      <w:r>
        <w:rPr>
          <w:rFonts w:ascii="Times New Roman" w:cs="Times New Roman" w:eastAsia="Times New Roman" w:hAnsi="Times New Roman"/>
          <w:sz w:val="18"/>
          <w:szCs w:val="18"/>
          <w:color w:val="auto"/>
        </w:rPr>
        <w:t xml:space="preserve"> attached hereto.</w:t>
      </w:r>
    </w:p>
    <w:p>
      <w:pPr>
        <w:spacing w:after="0" w:line="176"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H Common Warrants</w:t>
      </w:r>
      <w:r>
        <w:rPr>
          <w:rFonts w:ascii="Times New Roman" w:cs="Times New Roman" w:eastAsia="Times New Roman" w:hAnsi="Times New Roman"/>
          <w:sz w:val="18"/>
          <w:szCs w:val="18"/>
          <w:color w:val="auto"/>
        </w:rPr>
        <w:t xml:space="preserve">” means the Common Stock purchase warrants delivered to the Purchasers at the Closing in accordance with Section 2.2(a) hereof, which such Common Warrants shall be exercisable immediately upon issuance and have a term of exercise equal to twenty-four (24) months following the Effective Date, in the form of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xml:space="preserve"> attached hereto.</w:t>
      </w:r>
    </w:p>
    <w:p>
      <w:pPr>
        <w:spacing w:after="0" w:line="176"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means the shares of Common Stock issued or issuable to each Purchaser pursuant to this Agreement, but excluding the Warrant Shares.</w:t>
      </w:r>
    </w:p>
    <w:p>
      <w:pPr>
        <w:spacing w:after="0" w:line="162"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means all “short sales” as defined in Rule 200 of Regulation SHO under the Exchange Act (but shall not be deemed to include locating and/or borrowing shares of Common Stock).</w:t>
      </w:r>
    </w:p>
    <w:p>
      <w:pPr>
        <w:spacing w:after="0" w:line="16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Amount</w:t>
      </w:r>
      <w:r>
        <w:rPr>
          <w:rFonts w:ascii="Times New Roman" w:cs="Times New Roman" w:eastAsia="Times New Roman" w:hAnsi="Times New Roman"/>
          <w:sz w:val="18"/>
          <w:szCs w:val="18"/>
          <w:color w:val="auto"/>
        </w:rPr>
        <w:t>” means, as to each Purchaser, the aggregate amount to be paid for Shares, Pre-Funded Warrants (if applicable) and Common Warrants purchased hereunder as specified below such Purchaser’s name on the signature page of this Agreement and next to the heading “Subscription Amount,” in United States dollars and in immediately available funds (excluding for the avoidance of doubt, if applicable, a Purchaser’s aggregate exercise price of the Pre-Funded Warrants, which amounts shall be paid as and when such Pre-Funded Warrants are exercised for cash).</w:t>
      </w:r>
    </w:p>
    <w:p>
      <w:pPr>
        <w:spacing w:after="0" w:line="183"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Company as set forth in the SEC Reports, and shall, where applicable, also include any direct or indirect subsidiary of the Company formed or acquired after the date hereof.</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225"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76"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the Warrants, the Registration Rights Agreement, the Escrow Agreement, all exhibits and schedules thereto and hereto and any other documents or agreements executed in connection with the transactions contemplated hereunder.</w:t>
      </w:r>
    </w:p>
    <w:p>
      <w:pPr>
        <w:spacing w:after="0" w:line="37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69" w:name="page70"/>
    <w:bookmarkEnd w:id="69"/>
    <w:p>
      <w:pPr>
        <w:ind w:left="660" w:right="180" w:firstLine="32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Continental Stock Transfer &amp; Trust Company, the current transfer agent of the Company, with a mailing address of 17 Battery Place, New York, New York 10004, and any successor transfer agent of the Company.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Variable Rate Transaction</w:t>
      </w:r>
      <w:r>
        <w:rPr>
          <w:rFonts w:ascii="Times New Roman" w:cs="Times New Roman" w:eastAsia="Times New Roman" w:hAnsi="Times New Roman"/>
          <w:sz w:val="18"/>
          <w:szCs w:val="18"/>
          <w:color w:val="auto"/>
        </w:rPr>
        <w:t>” shall have the meaning ascribed to such term in Section 4.12(b).</w:t>
      </w:r>
    </w:p>
    <w:p>
      <w:pPr>
        <w:spacing w:after="0" w:line="225" w:lineRule="exact"/>
        <w:rPr>
          <w:sz w:val="20"/>
          <w:szCs w:val="20"/>
          <w:color w:val="auto"/>
        </w:rPr>
      </w:pPr>
    </w:p>
    <w:p>
      <w:pPr>
        <w:ind w:left="660" w:firstLine="324"/>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VWAP</w:t>
      </w:r>
      <w:r>
        <w:rPr>
          <w:rFonts w:ascii="Times New Roman" w:cs="Times New Roman" w:eastAsia="Times New Roman" w:hAnsi="Times New Roman"/>
          <w:sz w:val="17"/>
          <w:szCs w:val="17"/>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the OTCQB Venture Market (“</w:t>
      </w:r>
      <w:r>
        <w:rPr>
          <w:rFonts w:ascii="Times New Roman" w:cs="Times New Roman" w:eastAsia="Times New Roman" w:hAnsi="Times New Roman"/>
          <w:sz w:val="17"/>
          <w:szCs w:val="17"/>
          <w:u w:val="single" w:color="auto"/>
          <w:color w:val="auto"/>
        </w:rPr>
        <w:t>OTCQB</w:t>
      </w:r>
      <w:r>
        <w:rPr>
          <w:rFonts w:ascii="Times New Roman" w:cs="Times New Roman" w:eastAsia="Times New Roman" w:hAnsi="Times New Roman"/>
          <w:sz w:val="17"/>
          <w:szCs w:val="17"/>
          <w:color w:val="auto"/>
        </w:rPr>
        <w:t>”) or the OTCQX Best Market (“</w:t>
      </w:r>
      <w:r>
        <w:rPr>
          <w:rFonts w:ascii="Times New Roman" w:cs="Times New Roman" w:eastAsia="Times New Roman" w:hAnsi="Times New Roman"/>
          <w:sz w:val="17"/>
          <w:szCs w:val="17"/>
          <w:u w:val="single" w:color="auto"/>
          <w:color w:val="auto"/>
        </w:rPr>
        <w:t>OTCQX</w:t>
      </w:r>
      <w:r>
        <w:rPr>
          <w:rFonts w:ascii="Times New Roman" w:cs="Times New Roman" w:eastAsia="Times New Roman" w:hAnsi="Times New Roman"/>
          <w:sz w:val="17"/>
          <w:szCs w:val="17"/>
          <w:color w:val="auto"/>
        </w:rPr>
        <w:t>”)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w:t>
      </w:r>
      <w:r>
        <w:rPr>
          <w:rFonts w:ascii="Times New Roman" w:cs="Times New Roman" w:eastAsia="Times New Roman" w:hAnsi="Times New Roman"/>
          <w:sz w:val="17"/>
          <w:szCs w:val="17"/>
          <w:u w:val="single" w:color="auto"/>
          <w:color w:val="auto"/>
        </w:rPr>
        <w:t>Pink Market</w:t>
      </w:r>
      <w:r>
        <w:rPr>
          <w:rFonts w:ascii="Times New Roman" w:cs="Times New Roman" w:eastAsia="Times New Roman" w:hAnsi="Times New Roman"/>
          <w:sz w:val="17"/>
          <w:szCs w:val="17"/>
          <w:color w:val="auto"/>
        </w:rPr>
        <w:t>”) operated by OTC Markets, Inc.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7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 means, collectively, the Common Warrants and the Pre-Funded Warrants.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means, collectively, the Common Warrant Shares and the Pre-Funded Warrant Shares.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PURCHASE AND SALE</w:t>
      </w:r>
    </w:p>
    <w:p>
      <w:pPr>
        <w:spacing w:after="0" w:line="207" w:lineRule="exact"/>
        <w:rPr>
          <w:sz w:val="20"/>
          <w:szCs w:val="20"/>
          <w:color w:val="auto"/>
        </w:rPr>
      </w:pPr>
    </w:p>
    <w:p>
      <w:pPr>
        <w:ind w:right="40" w:firstLine="648"/>
        <w:spacing w:after="0" w:line="269" w:lineRule="auto"/>
        <w:rPr>
          <w:sz w:val="20"/>
          <w:szCs w:val="20"/>
          <w:color w:val="auto"/>
        </w:rPr>
      </w:pPr>
      <w:r>
        <w:rPr>
          <w:rFonts w:ascii="Times New Roman" w:cs="Times New Roman" w:eastAsia="Times New Roman" w:hAnsi="Times New Roman"/>
          <w:sz w:val="17"/>
          <w:szCs w:val="17"/>
          <w:color w:val="auto"/>
        </w:rPr>
        <w:t xml:space="preserve">2.1 </w:t>
      </w:r>
      <w:r>
        <w:rPr>
          <w:rFonts w:ascii="Times New Roman" w:cs="Times New Roman" w:eastAsia="Times New Roman" w:hAnsi="Times New Roman"/>
          <w:sz w:val="17"/>
          <w:szCs w:val="17"/>
          <w:u w:val="single" w:color="auto"/>
          <w:color w:val="auto"/>
        </w:rPr>
        <w:t>Closing</w:t>
      </w:r>
      <w:r>
        <w:rPr>
          <w:rFonts w:ascii="Times New Roman" w:cs="Times New Roman" w:eastAsia="Times New Roman" w:hAnsi="Times New Roman"/>
          <w:sz w:val="17"/>
          <w:szCs w:val="17"/>
          <w:color w:val="auto"/>
        </w:rPr>
        <w:t>. On the Closing Date, upon the terms and subject to the conditions set forth herein, the Company agrees to sell, and the Purchasers, severally and not jointly, agree to purchase, an aggregate of approximately $8.5 million of Shares and Warrants; provided, however, that to the extent that a Purchaser determines, in its sole discretion, that such Purchaser (together with such Purchaser’s Affiliates, and any Person acting as a group together with such Purchaser or any of such Purchaser’s Affiliates) would beneficially own in excess of the Beneficial Ownership Limitation, or as such Purchaser may otherwise choose, in lieu of purchasing Shares, such Purchaser may elect, by so indicating such election prior to their issuance, to purchase Pre-Funded Warrants in lieu of Shares in such manner to result in the same aggregate purchase price being paid by such Purchaser to the Company. The “</w:t>
      </w:r>
      <w:r>
        <w:rPr>
          <w:rFonts w:ascii="Times New Roman" w:cs="Times New Roman" w:eastAsia="Times New Roman" w:hAnsi="Times New Roman"/>
          <w:sz w:val="17"/>
          <w:szCs w:val="17"/>
          <w:u w:val="single" w:color="auto"/>
          <w:color w:val="auto"/>
        </w:rPr>
        <w:t>Beneficial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Ownership Limitation</w:t>
      </w:r>
      <w:r>
        <w:rPr>
          <w:rFonts w:ascii="Times New Roman" w:cs="Times New Roman" w:eastAsia="Times New Roman" w:hAnsi="Times New Roman"/>
          <w:sz w:val="17"/>
          <w:szCs w:val="17"/>
          <w:color w:val="auto"/>
        </w:rPr>
        <w:t>” shall be 4.99% (or, with respect to each Purchaser, at the election of such Purchaser at Closing, 9.99%) of the number of shares of the Common Stock outstanding immediately after giving effect to the issuance of the Shares on the Closing Date. In each case, the election to receive Pre-Funded Warrants is solely at the option of the Purchaser. Each Purchaser shall deliver to the Escrow Agent, via wire transfer, immediately available funds equal to such Purchaser’s Subscription Amount as set forth on the signature page hereto executed by such Purchaser. The Company shall deliver to each Purchaser its respective Shares, Pre-Funded Warrants (if any) and Common Warrants, as determined pursuant to Section 2.2(a), and the Company and each Purchaser shall deliver the other items set forth in Section 2.2 deliverable at the Closing. Upon satisfaction of the covenants and conditions set forth in Sections 2.2 and 2.3, the Closing shall occur at the offices of Company Counsel or such other location (including remotely by electronic transmission).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Deliveries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hanging="240"/>
        <w:spacing w:after="0"/>
        <w:tabs>
          <w:tab w:leader="none" w:pos="5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the Company shall deliver or cause to be delivered to each Purchaser the following:</w:t>
      </w:r>
    </w:p>
    <w:p>
      <w:pPr>
        <w:spacing w:after="0" w:line="225" w:lineRule="exact"/>
        <w:rPr>
          <w:rFonts w:ascii="Times New Roman" w:cs="Times New Roman" w:eastAsia="Times New Roman" w:hAnsi="Times New Roman"/>
          <w:sz w:val="18"/>
          <w:szCs w:val="18"/>
          <w:color w:val="auto"/>
        </w:rPr>
      </w:pPr>
    </w:p>
    <w:p>
      <w:pPr>
        <w:ind w:left="860" w:hanging="216"/>
        <w:spacing w:after="0"/>
        <w:tabs>
          <w:tab w:leader="none" w:pos="86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the Company;</w:t>
      </w:r>
    </w:p>
    <w:p>
      <w:pPr>
        <w:spacing w:after="0" w:line="225" w:lineRule="exact"/>
        <w:rPr>
          <w:rFonts w:ascii="Times New Roman" w:cs="Times New Roman" w:eastAsia="Times New Roman" w:hAnsi="Times New Roman"/>
          <w:sz w:val="18"/>
          <w:szCs w:val="18"/>
          <w:color w:val="auto"/>
        </w:rPr>
      </w:pPr>
    </w:p>
    <w:p>
      <w:pPr>
        <w:ind w:left="320" w:right="740" w:firstLine="324"/>
        <w:spacing w:after="0" w:line="282" w:lineRule="auto"/>
        <w:tabs>
          <w:tab w:leader="none" w:pos="909"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opinion of Company Counsel, directed to the Placement Agent and the Purchasers, in form and substance reasonably acceptable to the Placement Agent and Purchasers;</w:t>
      </w:r>
    </w:p>
    <w:p>
      <w:pPr>
        <w:spacing w:after="0" w:line="161" w:lineRule="exact"/>
        <w:rPr>
          <w:rFonts w:ascii="Times New Roman" w:cs="Times New Roman" w:eastAsia="Times New Roman" w:hAnsi="Times New Roman"/>
          <w:sz w:val="18"/>
          <w:szCs w:val="18"/>
          <w:color w:val="auto"/>
        </w:rPr>
      </w:pPr>
    </w:p>
    <w:p>
      <w:pPr>
        <w:ind w:left="960" w:hanging="316"/>
        <w:spacing w:after="0"/>
        <w:tabs>
          <w:tab w:leader="none" w:pos="96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provided each Purchaser with the Escrow Agent’s wire instructions;</w:t>
      </w:r>
    </w:p>
    <w:p>
      <w:pPr>
        <w:spacing w:after="0" w:line="225" w:lineRule="exact"/>
        <w:rPr>
          <w:rFonts w:ascii="Times New Roman" w:cs="Times New Roman" w:eastAsia="Times New Roman" w:hAnsi="Times New Roman"/>
          <w:sz w:val="18"/>
          <w:szCs w:val="18"/>
          <w:color w:val="auto"/>
        </w:rPr>
      </w:pPr>
    </w:p>
    <w:p>
      <w:pPr>
        <w:ind w:left="940" w:hanging="296"/>
        <w:spacing w:after="0"/>
        <w:tabs>
          <w:tab w:leader="none" w:pos="94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irrevocable instructions to the Transfer Agent instructing the Transfer Agent to deliver on an expedited basis a</w:t>
      </w:r>
    </w:p>
    <w:p>
      <w:pPr>
        <w:spacing w:after="0" w:line="27" w:lineRule="exact"/>
        <w:rPr>
          <w:rFonts w:ascii="Times New Roman" w:cs="Times New Roman" w:eastAsia="Times New Roman" w:hAnsi="Times New Roman"/>
          <w:sz w:val="18"/>
          <w:szCs w:val="18"/>
          <w:color w:val="auto"/>
        </w:rPr>
      </w:pPr>
    </w:p>
    <w:p>
      <w:pPr>
        <w:jc w:val="both"/>
        <w:ind w:left="320" w:right="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 evidencing a number of Shares equal to such Purchaser’s Subscription Amount divided by the Per Share Purchase Price, registered in the name of such Purchaser, or, at the election of such Purchaser, evidence of the issuance of such Purchaser’s Shares hereunder as held in DRS book-entry form by the Transfer Agent and registered in the name of such Purchaser, which evidence shall be reasonably satisfactory to such Purchaser;</w:t>
      </w:r>
    </w:p>
    <w:p>
      <w:pPr>
        <w:spacing w:after="0" w:line="188" w:lineRule="exact"/>
        <w:rPr>
          <w:rFonts w:ascii="Times New Roman" w:cs="Times New Roman" w:eastAsia="Times New Roman" w:hAnsi="Times New Roman"/>
          <w:sz w:val="18"/>
          <w:szCs w:val="18"/>
          <w:color w:val="auto"/>
        </w:rPr>
      </w:pPr>
    </w:p>
    <w:p>
      <w:pPr>
        <w:jc w:val="both"/>
        <w:ind w:left="320" w:firstLine="324"/>
        <w:spacing w:after="0" w:line="261" w:lineRule="auto"/>
        <w:tabs>
          <w:tab w:leader="none" w:pos="899"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for each Purchaser of Pre-Funded Warrants pursuant to Section 2.1, a Pre-Funded Warrant registered in the name of such Purchaser to purchase up to a number of shares of Common Stock equal to the portion of such Purchaser’s Subscription Amount applicable to such Pre-Funded Warrants divided by the Per Share Purchase Price minus $0.0001, with an exercise price equal to $0.0001 per share of Common Stock, subject to adjustment therein;</w:t>
      </w:r>
    </w:p>
    <w:p>
      <w:pPr>
        <w:spacing w:after="0" w:line="179" w:lineRule="exact"/>
        <w:rPr>
          <w:rFonts w:ascii="Times New Roman" w:cs="Times New Roman" w:eastAsia="Times New Roman" w:hAnsi="Times New Roman"/>
          <w:sz w:val="18"/>
          <w:szCs w:val="18"/>
          <w:color w:val="auto"/>
        </w:rPr>
      </w:pPr>
    </w:p>
    <w:p>
      <w:pPr>
        <w:jc w:val="both"/>
        <w:ind w:left="320" w:right="100" w:firstLine="324"/>
        <w:spacing w:after="0" w:line="266" w:lineRule="auto"/>
        <w:tabs>
          <w:tab w:leader="none" w:pos="949"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Series G Common Warrant registered in the name of such Purchaser to purchase up to a number of shares of Common Stock equal to 100% of the sum of such Purchaser’s Shares and Pre-Funded Warrant Shares, with an exercise price equal to $2.075 per share of Common Stock, subject to adjustment therein;</w:t>
      </w:r>
    </w:p>
    <w:p>
      <w:pPr>
        <w:spacing w:after="0" w:line="175" w:lineRule="exact"/>
        <w:rPr>
          <w:rFonts w:ascii="Times New Roman" w:cs="Times New Roman" w:eastAsia="Times New Roman" w:hAnsi="Times New Roman"/>
          <w:sz w:val="18"/>
          <w:szCs w:val="18"/>
          <w:color w:val="auto"/>
        </w:rPr>
      </w:pPr>
    </w:p>
    <w:p>
      <w:pPr>
        <w:jc w:val="both"/>
        <w:ind w:left="320" w:right="60" w:firstLine="324"/>
        <w:spacing w:after="0" w:line="266" w:lineRule="auto"/>
        <w:tabs>
          <w:tab w:leader="none" w:pos="999"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Series H Common Warrant registered in the name of such Purchaser to purchase up to a number of shares of Common Stock equal to 100% of the sum of such Purchaser’s Shares and Pre-Funded Warrant Shares, with an exercise price equal to $2.075 per share of Common Stock, subject to adjustment therein; and</w:t>
      </w:r>
    </w:p>
    <w:p>
      <w:pPr>
        <w:spacing w:after="0" w:line="175" w:lineRule="exact"/>
        <w:rPr>
          <w:rFonts w:ascii="Times New Roman" w:cs="Times New Roman" w:eastAsia="Times New Roman" w:hAnsi="Times New Roman"/>
          <w:sz w:val="18"/>
          <w:szCs w:val="18"/>
          <w:color w:val="auto"/>
        </w:rPr>
      </w:pPr>
    </w:p>
    <w:p>
      <w:pPr>
        <w:ind w:left="1040" w:hanging="396"/>
        <w:spacing w:after="0"/>
        <w:tabs>
          <w:tab w:leader="none" w:pos="104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Rights Agreement duly executed by the Company.</w:t>
      </w:r>
    </w:p>
    <w:p>
      <w:pPr>
        <w:spacing w:after="0" w:line="200" w:lineRule="exact"/>
        <w:rPr>
          <w:sz w:val="20"/>
          <w:szCs w:val="20"/>
          <w:color w:val="auto"/>
        </w:rPr>
      </w:pPr>
    </w:p>
    <w:p>
      <w:pPr>
        <w:spacing w:after="0" w:line="24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71" w:name="page72"/>
    <w:bookmarkEnd w:id="71"/>
    <w:p>
      <w:pPr>
        <w:ind w:right="80" w:firstLine="320"/>
        <w:spacing w:after="0" w:line="282" w:lineRule="auto"/>
        <w:tabs>
          <w:tab w:leader="none" w:pos="579"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each Purchaser shall deliver or cause to be delivered to the Company or the Escrow Agent, as applicable, the following:</w:t>
      </w:r>
    </w:p>
    <w:p>
      <w:pPr>
        <w:spacing w:after="0" w:line="161" w:lineRule="exact"/>
        <w:rPr>
          <w:rFonts w:ascii="Times New Roman" w:cs="Times New Roman" w:eastAsia="Times New Roman" w:hAnsi="Times New Roman"/>
          <w:sz w:val="18"/>
          <w:szCs w:val="18"/>
          <w:color w:val="auto"/>
        </w:rPr>
      </w:pPr>
    </w:p>
    <w:p>
      <w:pPr>
        <w:ind w:left="860" w:hanging="216"/>
        <w:spacing w:after="0"/>
        <w:tabs>
          <w:tab w:leader="none" w:pos="86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such Purchaser;</w:t>
      </w:r>
    </w:p>
    <w:p>
      <w:pPr>
        <w:spacing w:after="0" w:line="225" w:lineRule="exact"/>
        <w:rPr>
          <w:rFonts w:ascii="Times New Roman" w:cs="Times New Roman" w:eastAsia="Times New Roman" w:hAnsi="Times New Roman"/>
          <w:sz w:val="18"/>
          <w:szCs w:val="18"/>
          <w:color w:val="auto"/>
        </w:rPr>
      </w:pPr>
    </w:p>
    <w:p>
      <w:pPr>
        <w:ind w:left="900" w:hanging="256"/>
        <w:spacing w:after="0"/>
        <w:tabs>
          <w:tab w:leader="none" w:pos="900" w:val="left"/>
        </w:tabs>
        <w:numPr>
          <w:ilvl w:val="1"/>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Escrow Agent, such Purchaser’s Subscription Amount by wire transfer to the account specified in writing by the Escrow Agent;</w:t>
      </w:r>
    </w:p>
    <w:p>
      <w:pPr>
        <w:spacing w:after="0" w:line="38" w:lineRule="exact"/>
        <w:rPr>
          <w:rFonts w:ascii="Times New Roman" w:cs="Times New Roman" w:eastAsia="Times New Roman" w:hAnsi="Times New Roman"/>
          <w:sz w:val="17"/>
          <w:szCs w:val="17"/>
          <w:color w:val="auto"/>
        </w:rPr>
      </w:pPr>
    </w:p>
    <w:p>
      <w:pPr>
        <w:ind w:left="3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and</w:t>
      </w:r>
    </w:p>
    <w:p>
      <w:pPr>
        <w:spacing w:after="0" w:line="206" w:lineRule="exact"/>
        <w:rPr>
          <w:rFonts w:ascii="Times New Roman" w:cs="Times New Roman" w:eastAsia="Times New Roman" w:hAnsi="Times New Roman"/>
          <w:sz w:val="17"/>
          <w:szCs w:val="17"/>
          <w:color w:val="auto"/>
        </w:rPr>
      </w:pPr>
    </w:p>
    <w:p>
      <w:pPr>
        <w:ind w:left="960" w:hanging="316"/>
        <w:spacing w:after="0"/>
        <w:tabs>
          <w:tab w:leader="none" w:pos="96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Rights Agreement duly executed by such Purchaser.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Closing Conditions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0" w:hanging="240"/>
        <w:spacing w:after="0"/>
        <w:tabs>
          <w:tab w:leader="none" w:pos="5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hereunder in connection with the Closing are subject to the following conditions being met:</w:t>
      </w:r>
    </w:p>
    <w:p>
      <w:pPr>
        <w:spacing w:after="0" w:line="225" w:lineRule="exact"/>
        <w:rPr>
          <w:rFonts w:ascii="Times New Roman" w:cs="Times New Roman" w:eastAsia="Times New Roman" w:hAnsi="Times New Roman"/>
          <w:sz w:val="18"/>
          <w:szCs w:val="18"/>
          <w:color w:val="auto"/>
        </w:rPr>
      </w:pPr>
    </w:p>
    <w:p>
      <w:pPr>
        <w:jc w:val="both"/>
        <w:ind w:left="320" w:right="240" w:firstLine="324"/>
        <w:spacing w:after="0" w:line="261" w:lineRule="auto"/>
        <w:tabs>
          <w:tab w:leader="none" w:pos="859"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 Adverse Effect, in all respects) when made and on the Closing Date of the representations and warranties of the Purchasers contained herein (unless such representation or warranty is as of a specific date therein in which case they shall be accurate in all material respects (or, to the extent representations or warranties are qualified by materiality or Material Adverse Effect, in all respects) as of such date);</w:t>
      </w:r>
    </w:p>
    <w:p>
      <w:pPr>
        <w:spacing w:after="0" w:line="179" w:lineRule="exact"/>
        <w:rPr>
          <w:rFonts w:ascii="Times New Roman" w:cs="Times New Roman" w:eastAsia="Times New Roman" w:hAnsi="Times New Roman"/>
          <w:sz w:val="18"/>
          <w:szCs w:val="18"/>
          <w:color w:val="auto"/>
        </w:rPr>
      </w:pPr>
    </w:p>
    <w:p>
      <w:pPr>
        <w:ind w:left="320" w:right="120" w:firstLine="324"/>
        <w:spacing w:after="0" w:line="282" w:lineRule="auto"/>
        <w:tabs>
          <w:tab w:leader="none" w:pos="909"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each Purchaser required to be performed at or prior to the Closing Date shall have been performed; and</w:t>
      </w:r>
    </w:p>
    <w:p>
      <w:pPr>
        <w:spacing w:after="0" w:line="161" w:lineRule="exact"/>
        <w:rPr>
          <w:rFonts w:ascii="Times New Roman" w:cs="Times New Roman" w:eastAsia="Times New Roman" w:hAnsi="Times New Roman"/>
          <w:sz w:val="18"/>
          <w:szCs w:val="18"/>
          <w:color w:val="auto"/>
        </w:rPr>
      </w:pPr>
    </w:p>
    <w:p>
      <w:pPr>
        <w:ind w:left="960" w:hanging="316"/>
        <w:spacing w:after="0"/>
        <w:tabs>
          <w:tab w:leader="none" w:pos="96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each Purchaser of the items set forth in Section 2.2(b) of this Agreement.</w:t>
      </w:r>
    </w:p>
    <w:p>
      <w:pPr>
        <w:spacing w:after="0" w:line="225" w:lineRule="exact"/>
        <w:rPr>
          <w:rFonts w:ascii="Times New Roman" w:cs="Times New Roman" w:eastAsia="Times New Roman" w:hAnsi="Times New Roman"/>
          <w:sz w:val="18"/>
          <w:szCs w:val="18"/>
          <w:color w:val="auto"/>
        </w:rPr>
      </w:pPr>
    </w:p>
    <w:p>
      <w:pPr>
        <w:ind w:left="580" w:hanging="260"/>
        <w:spacing w:after="0"/>
        <w:tabs>
          <w:tab w:leader="none" w:pos="5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obligations of the Purchasers hereunder in connection with the Closing are subject to the following conditions being met:</w:t>
      </w:r>
    </w:p>
    <w:p>
      <w:pPr>
        <w:spacing w:after="0" w:line="225" w:lineRule="exact"/>
        <w:rPr>
          <w:rFonts w:ascii="Times New Roman" w:cs="Times New Roman" w:eastAsia="Times New Roman" w:hAnsi="Times New Roman"/>
          <w:sz w:val="18"/>
          <w:szCs w:val="18"/>
          <w:color w:val="auto"/>
        </w:rPr>
      </w:pPr>
    </w:p>
    <w:p>
      <w:pPr>
        <w:jc w:val="both"/>
        <w:ind w:left="320" w:right="280" w:firstLine="324"/>
        <w:spacing w:after="0" w:line="261" w:lineRule="auto"/>
        <w:tabs>
          <w:tab w:leader="none" w:pos="859"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 Adverse Effect, in all respects) when made and on the Closing Date of the representations and warranties of the Company contained herein (unless such representation or warranty is as of a specific date therein in which case they shall be accurate in all material respects (or, to the extent representations or warranties are qualified by materiality or Material Adverse Effect, in all respects) as of such date);</w:t>
      </w:r>
    </w:p>
    <w:p>
      <w:pPr>
        <w:spacing w:after="0" w:line="39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337" w:right="359" w:bottom="1440" w:gutter="0" w:footer="0" w:header="0"/>
        </w:sectPr>
      </w:pPr>
    </w:p>
    <w:bookmarkStart w:id="72" w:name="page73"/>
    <w:bookmarkEnd w:id="72"/>
    <w:p>
      <w:pPr>
        <w:ind w:left="980" w:right="220" w:firstLine="324"/>
        <w:spacing w:after="0" w:line="282" w:lineRule="auto"/>
        <w:tabs>
          <w:tab w:leader="none" w:pos="156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the Company required to be performed at or prior to the Closing Date shall have been performed;</w:t>
      </w:r>
    </w:p>
    <w:p>
      <w:pPr>
        <w:spacing w:after="0" w:line="161"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the Company of the items set forth in Section 2.2(a) of this Agreement;</w:t>
      </w:r>
    </w:p>
    <w:p>
      <w:pPr>
        <w:spacing w:after="0" w:line="225"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Material Adverse Effect with respect to the Company since the date hereof; and</w:t>
      </w:r>
    </w:p>
    <w:p>
      <w:pPr>
        <w:spacing w:after="0" w:line="225" w:lineRule="exact"/>
        <w:rPr>
          <w:rFonts w:ascii="Times New Roman" w:cs="Times New Roman" w:eastAsia="Times New Roman" w:hAnsi="Times New Roman"/>
          <w:sz w:val="18"/>
          <w:szCs w:val="18"/>
          <w:color w:val="auto"/>
        </w:rPr>
      </w:pPr>
    </w:p>
    <w:p>
      <w:pPr>
        <w:ind w:left="980" w:firstLine="324"/>
        <w:spacing w:after="0" w:line="255" w:lineRule="auto"/>
        <w:tabs>
          <w:tab w:leader="none" w:pos="1559"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07" w:lineRule="exact"/>
        <w:rPr>
          <w:sz w:val="20"/>
          <w:szCs w:val="20"/>
          <w:color w:val="auto"/>
        </w:rPr>
      </w:pPr>
    </w:p>
    <w:p>
      <w:pPr>
        <w:ind w:right="8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Except as set forth in the SEC Reports, the Company hereby makes the following representations and warranties to each Purchaser:</w:t>
      </w:r>
    </w:p>
    <w:p>
      <w:pPr>
        <w:spacing w:after="0" w:line="162" w:lineRule="exact"/>
        <w:rPr>
          <w:sz w:val="20"/>
          <w:szCs w:val="20"/>
          <w:color w:val="auto"/>
        </w:rPr>
      </w:pPr>
    </w:p>
    <w:p>
      <w:pPr>
        <w:ind w:left="660" w:right="100" w:firstLine="320"/>
        <w:spacing w:after="0" w:line="258" w:lineRule="auto"/>
        <w:tabs>
          <w:tab w:leader="none" w:pos="122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All of the direct and indirect subsidiaries of the Company are set forth in the SEC Reports.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If the Company has no subsidiaries, all other references to the Subsidiaries or any of them in the Transaction Documents shall be disregarded.</w:t>
      </w:r>
    </w:p>
    <w:p>
      <w:pPr>
        <w:spacing w:after="0" w:line="183" w:lineRule="exact"/>
        <w:rPr>
          <w:rFonts w:ascii="Times New Roman" w:cs="Times New Roman" w:eastAsia="Times New Roman" w:hAnsi="Times New Roman"/>
          <w:sz w:val="18"/>
          <w:szCs w:val="18"/>
          <w:color w:val="auto"/>
        </w:rPr>
      </w:pPr>
    </w:p>
    <w:p>
      <w:pPr>
        <w:ind w:left="660" w:right="80" w:firstLine="320"/>
        <w:spacing w:after="0" w:line="253" w:lineRule="auto"/>
        <w:tabs>
          <w:tab w:leader="none" w:pos="1239"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and no Proceeding has been instituted in any such jurisdiction revoking, limiting or curtailing or seeking to revoke, limit or curtail such power and authority or qualification.</w:t>
      </w: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73" w:name="page74"/>
    <w:bookmarkEnd w:id="73"/>
    <w:p>
      <w:pPr>
        <w:ind w:left="-320" w:right="80" w:firstLine="320"/>
        <w:spacing w:after="0" w:line="253" w:lineRule="auto"/>
        <w:tabs>
          <w:tab w:leader="none" w:pos="24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1" w:lineRule="exact"/>
        <w:rPr>
          <w:rFonts w:ascii="Times New Roman" w:cs="Times New Roman" w:eastAsia="Times New Roman" w:hAnsi="Times New Roman"/>
          <w:sz w:val="18"/>
          <w:szCs w:val="18"/>
          <w:color w:val="auto"/>
        </w:rPr>
      </w:pPr>
    </w:p>
    <w:p>
      <w:pPr>
        <w:ind w:left="-320" w:firstLine="320"/>
        <w:spacing w:after="0" w:line="253" w:lineRule="auto"/>
        <w:tabs>
          <w:tab w:leader="none" w:pos="25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individually or in the aggregate, have or reasonably be expected to result in a Material Adverse Effect.</w:t>
      </w:r>
    </w:p>
    <w:p>
      <w:pPr>
        <w:spacing w:after="0" w:line="189" w:lineRule="exact"/>
        <w:rPr>
          <w:rFonts w:ascii="Times New Roman" w:cs="Times New Roman" w:eastAsia="Times New Roman" w:hAnsi="Times New Roman"/>
          <w:sz w:val="18"/>
          <w:szCs w:val="18"/>
          <w:color w:val="auto"/>
        </w:rPr>
      </w:pPr>
    </w:p>
    <w:p>
      <w:pPr>
        <w:ind w:left="-320" w:right="40" w:firstLine="320"/>
        <w:spacing w:after="0" w:line="255" w:lineRule="auto"/>
        <w:tabs>
          <w:tab w:leader="none" w:pos="24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Consents and Approvals</w:t>
      </w:r>
      <w:r>
        <w:rPr>
          <w:rFonts w:ascii="Times New Roman" w:cs="Times New Roman" w:eastAsia="Times New Roman" w:hAnsi="Times New Roman"/>
          <w:sz w:val="18"/>
          <w:szCs w:val="18"/>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filing with the Commission pursuant to the Registration Rights Agreement, (iii) the notice and/or application(s) to each applicable Trading Market for the issuance and sale of the Securities and the listing of the Shares and Warrant Shares for trading thereon in the time and manner required thereby, (iv) the filing of Form D with the Commission, and (v) such filings as are required to be made under applicable state securities laws (collectively, the “</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337" w:right="339" w:bottom="1440" w:gutter="0" w:footer="0" w:header="0"/>
        </w:sectPr>
      </w:pPr>
    </w:p>
    <w:bookmarkStart w:id="74" w:name="page75"/>
    <w:bookmarkEnd w:id="74"/>
    <w:p>
      <w:pPr>
        <w:ind w:left="-320" w:right="40" w:firstLine="320"/>
        <w:spacing w:after="0" w:line="256" w:lineRule="auto"/>
        <w:tabs>
          <w:tab w:leader="none" w:pos="22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the Securities</w:t>
      </w:r>
      <w:r>
        <w:rPr>
          <w:rFonts w:ascii="Times New Roman" w:cs="Times New Roman" w:eastAsia="Times New Roman" w:hAnsi="Times New Roman"/>
          <w:sz w:val="18"/>
          <w:szCs w:val="18"/>
          <w:color w:val="auto"/>
        </w:rPr>
        <w:t>. The Securities are duly authorized and, when issued and paid for in accordance with the applicable Transaction Documents, will be duly and validly issued, fully paid and nonassessable, free and clear of all Liens imposed by the Company other than restrictions on transfer provided for in the Transaction Documents. The Warrant Shares, when issued in accordance with the terms of the Warrants, will be validly issued, fully paid and nonassessable, free and clear of all Liens imposed by the Company other than restrictions on transfer provided for in the Transaction Documents. The Company has reserved from its duly authorized capital stock the maximum number of shares of Common Stock issuable pursuant to this Agreement and the Warrants.</w:t>
      </w:r>
    </w:p>
    <w:p>
      <w:pPr>
        <w:spacing w:after="0" w:line="187" w:lineRule="exact"/>
        <w:rPr>
          <w:rFonts w:ascii="Times New Roman" w:cs="Times New Roman" w:eastAsia="Times New Roman" w:hAnsi="Times New Roman"/>
          <w:sz w:val="18"/>
          <w:szCs w:val="18"/>
          <w:color w:val="auto"/>
        </w:rPr>
      </w:pPr>
    </w:p>
    <w:p>
      <w:pPr>
        <w:ind w:left="-320" w:firstLine="320"/>
        <w:spacing w:after="0" w:line="251" w:lineRule="auto"/>
        <w:tabs>
          <w:tab w:leader="none" w:pos="25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capitalization of the Company as of the date hereof is as set forth in the SEC Reports. The Company has not issued any capital stock since its most recently filed periodic report under the Exchange Act, other than pursuant to the exercise of employee stock options under the Company’s equity incentive plans, the issuance of shares of Common Stock to employees pursuant to the Company’s employee stock purchase plans and pursuant to the conversion and/or exercise of Common Stock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set forth in the SEC Reports and except as a result of the purchase and sale of the Securities,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Securities will not obligate the Company or any Subsidiary to issue shares of Common Stock or other securities to any Person (other than the Purchasers). There are no outstanding securities or instruments of the Company or any Subsidiary with any provision that adjusts the exercise, conversion, exchange or reset price of such security or instrument upon an issuance of securities by the Company or any Subsidiary. Except as set forth in the SEC Reports,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stockholder, the Board of Directors or others is required for the issuance and sale of the Securities.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205" w:lineRule="exact"/>
        <w:rPr>
          <w:rFonts w:ascii="Times New Roman" w:cs="Times New Roman" w:eastAsia="Times New Roman" w:hAnsi="Times New Roman"/>
          <w:sz w:val="18"/>
          <w:szCs w:val="18"/>
          <w:color w:val="auto"/>
        </w:rPr>
      </w:pPr>
    </w:p>
    <w:p>
      <w:pPr>
        <w:ind w:left="-320" w:right="40" w:firstLine="320"/>
        <w:spacing w:after="0" w:line="252" w:lineRule="auto"/>
        <w:tabs>
          <w:tab w:leader="none" w:pos="25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Reports; Financial Statements</w:t>
      </w:r>
      <w:r>
        <w:rPr>
          <w:rFonts w:ascii="Times New Roman" w:cs="Times New Roman" w:eastAsia="Times New Roman" w:hAnsi="Times New Roman"/>
          <w:sz w:val="18"/>
          <w:szCs w:val="18"/>
          <w:color w:val="auto"/>
        </w:rPr>
        <w:t>. The Company has filed all reports, schedules, forms, statements and other documents required to be filed by the Company under the Securities Act and the Exchange Act, including pursuant to Section 13(a) or 15(d) thereof, for the two (2)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200" w:lineRule="exact"/>
        <w:rPr>
          <w:sz w:val="20"/>
          <w:szCs w:val="20"/>
          <w:color w:val="auto"/>
        </w:rPr>
      </w:pPr>
    </w:p>
    <w:p>
      <w:pPr>
        <w:spacing w:after="0" w:line="21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337" w:right="339" w:bottom="1440" w:gutter="0" w:footer="0" w:header="0"/>
        </w:sectPr>
      </w:pPr>
    </w:p>
    <w:bookmarkStart w:id="75" w:name="page76"/>
    <w:bookmarkEnd w:id="75"/>
    <w:p>
      <w:pPr>
        <w:ind w:left="4" w:firstLine="320"/>
        <w:spacing w:after="0" w:line="272" w:lineRule="auto"/>
        <w:tabs>
          <w:tab w:leader="none" w:pos="543" w:val="left"/>
        </w:tabs>
        <w:numPr>
          <w:ilvl w:val="1"/>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Material Changes; Undisclosed Events, Liabilities or Developments</w:t>
      </w:r>
      <w:r>
        <w:rPr>
          <w:rFonts w:ascii="Times New Roman" w:cs="Times New Roman" w:eastAsia="Times New Roman" w:hAnsi="Times New Roman"/>
          <w:sz w:val="17"/>
          <w:szCs w:val="17"/>
          <w:color w:val="auto"/>
        </w:rPr>
        <w:t>. Since the date of the latest audited financial statements included within the SEC Reports, except as set forth on the SEC Reports, (i) there has been no event, occurrence or development that has had or that could reasonably be expected to result in a Material Adverse Effect, (ii) the Company has not incurred any liabilities (contingent or otherwise) other than</w:t>
      </w:r>
    </w:p>
    <w:p>
      <w:pPr>
        <w:spacing w:after="0" w:line="1" w:lineRule="exact"/>
        <w:rPr>
          <w:rFonts w:ascii="Times New Roman" w:cs="Times New Roman" w:eastAsia="Times New Roman" w:hAnsi="Times New Roman"/>
          <w:sz w:val="17"/>
          <w:szCs w:val="17"/>
          <w:color w:val="auto"/>
        </w:rPr>
      </w:pPr>
    </w:p>
    <w:p>
      <w:pPr>
        <w:ind w:left="4" w:right="20" w:hanging="4"/>
        <w:spacing w:after="0" w:line="251" w:lineRule="auto"/>
        <w:tabs>
          <w:tab w:leader="none" w:pos="29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equity compensation plans. The Company does not have pending before the Commission any request for confidential treatment of information. Except for the issuance of the Securities contemplated by this Agreement or as set forth in the SEC Reports,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one (1) Trading Day prior to the date that this representation is made.</w:t>
      </w:r>
    </w:p>
    <w:p>
      <w:pPr>
        <w:spacing w:after="0" w:line="192" w:lineRule="exact"/>
        <w:rPr>
          <w:rFonts w:ascii="Times New Roman" w:cs="Times New Roman" w:eastAsia="Times New Roman" w:hAnsi="Times New Roman"/>
          <w:sz w:val="18"/>
          <w:szCs w:val="18"/>
          <w:color w:val="auto"/>
        </w:rPr>
      </w:pPr>
    </w:p>
    <w:p>
      <w:pPr>
        <w:ind w:left="4" w:right="60" w:firstLine="320"/>
        <w:spacing w:after="0" w:line="253" w:lineRule="auto"/>
        <w:tabs>
          <w:tab w:leader="none" w:pos="543"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Except as set forth in the SEC Reports,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“Action”). None of the Actions set forth in the SEC Reports, (i) adversely affects or challenges the legality, validity or enforceability of any of the Transaction Documents or the Securities or (ii) could,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194" w:lineRule="exact"/>
        <w:rPr>
          <w:rFonts w:ascii="Times New Roman" w:cs="Times New Roman" w:eastAsia="Times New Roman" w:hAnsi="Times New Roman"/>
          <w:sz w:val="18"/>
          <w:szCs w:val="18"/>
          <w:color w:val="auto"/>
        </w:rPr>
      </w:pPr>
    </w:p>
    <w:p>
      <w:pPr>
        <w:ind w:left="4" w:right="140" w:firstLine="320"/>
        <w:spacing w:after="0" w:line="253" w:lineRule="auto"/>
        <w:tabs>
          <w:tab w:leader="none" w:pos="583"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Relations</w:t>
      </w:r>
      <w:r>
        <w:rPr>
          <w:rFonts w:ascii="Times New Roman" w:cs="Times New Roman" w:eastAsia="Times New Roman" w:hAnsi="Times New Roman"/>
          <w:sz w:val="18"/>
          <w:szCs w:val="18"/>
          <w:color w:val="auto"/>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applicable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200" w:lineRule="exact"/>
        <w:rPr>
          <w:sz w:val="20"/>
          <w:szCs w:val="20"/>
          <w:color w:val="auto"/>
        </w:rPr>
      </w:pPr>
    </w:p>
    <w:p>
      <w:pPr>
        <w:spacing w:after="0" w:line="20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76" w:name="page77"/>
    <w:bookmarkEnd w:id="76"/>
    <w:p>
      <w:pPr>
        <w:ind w:left="-320" w:right="20" w:firstLine="320"/>
        <w:spacing w:after="0" w:line="254" w:lineRule="auto"/>
        <w:tabs>
          <w:tab w:leader="none" w:pos="219"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spacing w:after="0" w:line="191" w:lineRule="exact"/>
        <w:rPr>
          <w:rFonts w:ascii="Times New Roman" w:cs="Times New Roman" w:eastAsia="Times New Roman" w:hAnsi="Times New Roman"/>
          <w:sz w:val="18"/>
          <w:szCs w:val="18"/>
          <w:color w:val="auto"/>
        </w:rPr>
      </w:pPr>
    </w:p>
    <w:p>
      <w:pPr>
        <w:ind w:left="-320" w:right="20" w:firstLine="320"/>
        <w:spacing w:after="0" w:line="253" w:lineRule="auto"/>
        <w:tabs>
          <w:tab w:leader="none" w:pos="309"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spacing w:after="0" w:line="194" w:lineRule="exact"/>
        <w:rPr>
          <w:rFonts w:ascii="Times New Roman" w:cs="Times New Roman" w:eastAsia="Times New Roman" w:hAnsi="Times New Roman"/>
          <w:sz w:val="18"/>
          <w:szCs w:val="18"/>
          <w:color w:val="auto"/>
        </w:rPr>
      </w:pPr>
    </w:p>
    <w:p>
      <w:pPr>
        <w:jc w:val="both"/>
        <w:ind w:left="-320" w:right="60" w:firstLine="320"/>
        <w:spacing w:after="0" w:line="261" w:lineRule="auto"/>
        <w:tabs>
          <w:tab w:leader="none" w:pos="259"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and neither the Company nor any Subsidiary has received any notice of proceedings relating to the revocation or modification of any Material Permit.</w:t>
      </w:r>
    </w:p>
    <w:p>
      <w:pPr>
        <w:spacing w:after="0" w:line="179" w:lineRule="exact"/>
        <w:rPr>
          <w:rFonts w:ascii="Times New Roman" w:cs="Times New Roman" w:eastAsia="Times New Roman" w:hAnsi="Times New Roman"/>
          <w:sz w:val="18"/>
          <w:szCs w:val="18"/>
          <w:color w:val="auto"/>
        </w:rPr>
      </w:pPr>
    </w:p>
    <w:p>
      <w:pPr>
        <w:ind w:left="-320" w:firstLine="320"/>
        <w:spacing w:after="0" w:line="255" w:lineRule="auto"/>
        <w:tabs>
          <w:tab w:leader="none" w:pos="259"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spacing w:after="0" w:line="200" w:lineRule="exact"/>
        <w:rPr>
          <w:sz w:val="20"/>
          <w:szCs w:val="20"/>
          <w:color w:val="auto"/>
        </w:rPr>
      </w:pPr>
    </w:p>
    <w:p>
      <w:pPr>
        <w:spacing w:after="0" w:line="20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337" w:right="339" w:bottom="1440" w:gutter="0" w:footer="0" w:header="0"/>
        </w:sectPr>
      </w:pPr>
    </w:p>
    <w:bookmarkStart w:id="77" w:name="page78"/>
    <w:bookmarkEnd w:id="77"/>
    <w:p>
      <w:pPr>
        <w:ind w:right="20" w:firstLine="320"/>
        <w:spacing w:after="0" w:line="252" w:lineRule="auto"/>
        <w:tabs>
          <w:tab w:leader="none" w:pos="57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 The Company has no knowledge of any facts that would preclude it from having valid license rights or clear title to the Intellectual Property Rights. The Company has no knowledge that it lacks or will be unable to obtain any rights or licenses to use all Intellectual Property Rights that are necessary to conduct its business.</w:t>
      </w:r>
    </w:p>
    <w:p>
      <w:pPr>
        <w:spacing w:after="0" w:line="197" w:lineRule="exact"/>
        <w:rPr>
          <w:rFonts w:ascii="Times New Roman" w:cs="Times New Roman" w:eastAsia="Times New Roman" w:hAnsi="Times New Roman"/>
          <w:sz w:val="18"/>
          <w:szCs w:val="18"/>
          <w:color w:val="auto"/>
        </w:rPr>
      </w:pPr>
    </w:p>
    <w:p>
      <w:pPr>
        <w:ind w:right="40" w:firstLine="320"/>
        <w:spacing w:after="0" w:line="258" w:lineRule="auto"/>
        <w:tabs>
          <w:tab w:leader="none" w:pos="57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at least equal to the aggregate Subscription Amount.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183" w:lineRule="exact"/>
        <w:rPr>
          <w:rFonts w:ascii="Times New Roman" w:cs="Times New Roman" w:eastAsia="Times New Roman" w:hAnsi="Times New Roman"/>
          <w:sz w:val="18"/>
          <w:szCs w:val="18"/>
          <w:color w:val="auto"/>
        </w:rPr>
      </w:pPr>
    </w:p>
    <w:p>
      <w:pPr>
        <w:ind w:right="20" w:firstLine="320"/>
        <w:spacing w:after="0" w:line="254" w:lineRule="auto"/>
        <w:tabs>
          <w:tab w:leader="none" w:pos="54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Affiliates and Employees</w:t>
      </w:r>
      <w:r>
        <w:rPr>
          <w:rFonts w:ascii="Times New Roman" w:cs="Times New Roman" w:eastAsia="Times New Roman" w:hAnsi="Times New Roman"/>
          <w:sz w:val="18"/>
          <w:szCs w:val="18"/>
          <w:color w:val="auto"/>
        </w:rPr>
        <w:t>. Except as set forth in the SEC Reports,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equity incentive plans of the Company.</w:t>
      </w:r>
    </w:p>
    <w:p>
      <w:pPr>
        <w:spacing w:after="0" w:line="188" w:lineRule="exact"/>
        <w:rPr>
          <w:rFonts w:ascii="Times New Roman" w:cs="Times New Roman" w:eastAsia="Times New Roman" w:hAnsi="Times New Roman"/>
          <w:sz w:val="18"/>
          <w:szCs w:val="18"/>
          <w:color w:val="auto"/>
        </w:rPr>
      </w:pPr>
    </w:p>
    <w:p>
      <w:pPr>
        <w:ind w:left="560" w:hanging="240"/>
        <w:spacing w:after="0"/>
        <w:tabs>
          <w:tab w:leader="none" w:pos="5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Internal Accounting Controls</w:t>
      </w:r>
      <w:r>
        <w:rPr>
          <w:rFonts w:ascii="Times New Roman" w:cs="Times New Roman" w:eastAsia="Times New Roman" w:hAnsi="Times New Roman"/>
          <w:sz w:val="18"/>
          <w:szCs w:val="18"/>
          <w:color w:val="auto"/>
        </w:rPr>
        <w:t>. The Company and the Subsidiaries are in compliance with any and all applicable</w:t>
      </w:r>
    </w:p>
    <w:p>
      <w:pPr>
        <w:spacing w:after="0" w:line="27" w:lineRule="exact"/>
        <w:rPr>
          <w:rFonts w:ascii="Times New Roman" w:cs="Times New Roman" w:eastAsia="Times New Roman" w:hAnsi="Times New Roman"/>
          <w:sz w:val="18"/>
          <w:szCs w:val="18"/>
          <w:color w:val="auto"/>
        </w:rPr>
      </w:pP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of the Sarbanes-Oxley Act of 2002, as amended, that are effective as of the date hereof and as of the Closing Date, and any and all applicable rules and regulations promulgated by the Commission thereunder that are effective as of the date hereof and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200" w:lineRule="exact"/>
        <w:rPr>
          <w:sz w:val="20"/>
          <w:szCs w:val="20"/>
          <w:color w:val="auto"/>
        </w:rPr>
      </w:pPr>
    </w:p>
    <w:p>
      <w:pPr>
        <w:spacing w:after="0" w:line="20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78" w:name="page79"/>
    <w:bookmarkEnd w:id="78"/>
    <w:p>
      <w:pPr>
        <w:ind w:left="-320" w:right="60" w:firstLine="320"/>
        <w:spacing w:after="0" w:line="258" w:lineRule="auto"/>
        <w:tabs>
          <w:tab w:leader="none" w:pos="21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Except for compensation payable by the Company to the Placement Agent,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183" w:lineRule="exact"/>
        <w:rPr>
          <w:rFonts w:ascii="Times New Roman" w:cs="Times New Roman" w:eastAsia="Times New Roman" w:hAnsi="Times New Roman"/>
          <w:sz w:val="18"/>
          <w:szCs w:val="18"/>
          <w:color w:val="auto"/>
        </w:rPr>
      </w:pPr>
    </w:p>
    <w:p>
      <w:pPr>
        <w:ind w:left="-320" w:right="60" w:firstLine="320"/>
        <w:spacing w:after="0" w:line="266" w:lineRule="auto"/>
        <w:tabs>
          <w:tab w:leader="none" w:pos="25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Private Placement</w:t>
      </w:r>
      <w:r>
        <w:rPr>
          <w:rFonts w:ascii="Times New Roman" w:cs="Times New Roman" w:eastAsia="Times New Roman" w:hAnsi="Times New Roman"/>
          <w:sz w:val="18"/>
          <w:szCs w:val="18"/>
          <w:color w:val="auto"/>
        </w:rPr>
        <w:t>. Assuming the accuracy of the Purchasers’ representations and warranties set forth in Section 3.2, no registration under the Securities Act is required for the offer and sale of the Securities by the Company to the Purchasers as contemplated hereby. The issuance and sale of the Securities hereunder does not contravene the rules and regulations of the Trading Market.</w:t>
      </w:r>
    </w:p>
    <w:p>
      <w:pPr>
        <w:spacing w:after="0" w:line="175" w:lineRule="exact"/>
        <w:rPr>
          <w:rFonts w:ascii="Times New Roman" w:cs="Times New Roman" w:eastAsia="Times New Roman" w:hAnsi="Times New Roman"/>
          <w:sz w:val="18"/>
          <w:szCs w:val="18"/>
          <w:color w:val="auto"/>
        </w:rPr>
      </w:pPr>
    </w:p>
    <w:p>
      <w:pPr>
        <w:ind w:left="-320" w:right="40" w:firstLine="320"/>
        <w:spacing w:after="0" w:line="261" w:lineRule="auto"/>
        <w:tabs>
          <w:tab w:leader="none" w:pos="25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179" w:lineRule="exact"/>
        <w:rPr>
          <w:rFonts w:ascii="Times New Roman" w:cs="Times New Roman" w:eastAsia="Times New Roman" w:hAnsi="Times New Roman"/>
          <w:sz w:val="18"/>
          <w:szCs w:val="18"/>
          <w:color w:val="auto"/>
        </w:rPr>
      </w:pPr>
    </w:p>
    <w:p>
      <w:pPr>
        <w:ind w:left="-320" w:right="40" w:firstLine="320"/>
        <w:spacing w:after="0" w:line="282" w:lineRule="auto"/>
        <w:tabs>
          <w:tab w:leader="none" w:pos="29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Other than to each of the Purchasers pursuant to the Registration Rights Agreement, no Person has any right to cause the Company or any Subsidiary to effect the registration under the Securities Act of any securities of the Company or any Subsidiary.</w:t>
      </w:r>
    </w:p>
    <w:p>
      <w:pPr>
        <w:spacing w:after="0" w:line="161" w:lineRule="exact"/>
        <w:rPr>
          <w:rFonts w:ascii="Times New Roman" w:cs="Times New Roman" w:eastAsia="Times New Roman" w:hAnsi="Times New Roman"/>
          <w:sz w:val="18"/>
          <w:szCs w:val="18"/>
          <w:color w:val="auto"/>
        </w:rPr>
      </w:pPr>
    </w:p>
    <w:p>
      <w:pPr>
        <w:ind w:left="-320" w:firstLine="320"/>
        <w:spacing w:after="0" w:line="254" w:lineRule="auto"/>
        <w:tabs>
          <w:tab w:leader="none" w:pos="25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and Maintenance Requirements</w:t>
      </w:r>
      <w:r>
        <w:rPr>
          <w:rFonts w:ascii="Times New Roman" w:cs="Times New Roman" w:eastAsia="Times New Roman" w:hAnsi="Times New Roman"/>
          <w:sz w:val="18"/>
          <w:szCs w:val="18"/>
          <w:color w:val="auto"/>
        </w:rPr>
        <w: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200" w:lineRule="exact"/>
        <w:rPr>
          <w:sz w:val="20"/>
          <w:szCs w:val="20"/>
          <w:color w:val="auto"/>
        </w:rPr>
      </w:pPr>
    </w:p>
    <w:p>
      <w:pPr>
        <w:spacing w:after="0" w:line="20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40"/>
          </w:cols>
          <w:pgMar w:left="1300" w:top="337" w:right="359" w:bottom="1440" w:gutter="0" w:footer="0" w:header="0"/>
        </w:sectPr>
      </w:pPr>
    </w:p>
    <w:bookmarkStart w:id="79" w:name="page80"/>
    <w:bookmarkEnd w:id="79"/>
    <w:p>
      <w:pPr>
        <w:ind w:left="4" w:right="80" w:firstLine="320"/>
        <w:spacing w:after="0" w:line="256" w:lineRule="auto"/>
        <w:tabs>
          <w:tab w:leader="none" w:pos="583"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Takeover Protections</w:t>
      </w:r>
      <w:r>
        <w:rPr>
          <w:rFonts w:ascii="Times New Roman" w:cs="Times New Roman" w:eastAsia="Times New Roman" w:hAnsi="Times New Roman"/>
          <w:sz w:val="18"/>
          <w:szCs w:val="18"/>
          <w:color w:val="auto"/>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spacing w:after="0" w:line="187" w:lineRule="exact"/>
        <w:rPr>
          <w:rFonts w:ascii="Times New Roman" w:cs="Times New Roman" w:eastAsia="Times New Roman" w:hAnsi="Times New Roman"/>
          <w:sz w:val="18"/>
          <w:szCs w:val="18"/>
          <w:color w:val="auto"/>
        </w:rPr>
      </w:pPr>
    </w:p>
    <w:p>
      <w:pPr>
        <w:ind w:left="4" w:right="60" w:firstLine="320"/>
        <w:spacing w:after="0" w:line="253" w:lineRule="auto"/>
        <w:tabs>
          <w:tab w:leader="none" w:pos="57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is true and correct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the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w:t>
      </w:r>
    </w:p>
    <w:p>
      <w:pPr>
        <w:spacing w:after="0" w:line="190" w:lineRule="exact"/>
        <w:rPr>
          <w:sz w:val="20"/>
          <w:szCs w:val="20"/>
          <w:color w:val="auto"/>
        </w:rPr>
      </w:pPr>
    </w:p>
    <w:p>
      <w:pPr>
        <w:ind w:left="4" w:right="40" w:firstLine="320"/>
        <w:spacing w:after="0" w:line="277" w:lineRule="auto"/>
        <w:tabs>
          <w:tab w:leader="none" w:pos="652"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Integrated Offering</w:t>
      </w:r>
      <w:r>
        <w:rPr>
          <w:rFonts w:ascii="Times New Roman" w:cs="Times New Roman" w:eastAsia="Times New Roman" w:hAnsi="Times New Roman"/>
          <w:sz w:val="17"/>
          <w:szCs w:val="17"/>
          <w:color w:val="auto"/>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(i) the Securities Act which would require the registration of any such Securities under the Securities Act, or (ii) any applicable shareholder approval provisions of any Trading Market on which any of the securities of the Company are listed or designated.</w:t>
      </w:r>
    </w:p>
    <w:p>
      <w:pPr>
        <w:spacing w:after="0" w:line="167" w:lineRule="exact"/>
        <w:rPr>
          <w:rFonts w:ascii="Times New Roman" w:cs="Times New Roman" w:eastAsia="Times New Roman" w:hAnsi="Times New Roman"/>
          <w:sz w:val="17"/>
          <w:szCs w:val="17"/>
          <w:color w:val="auto"/>
        </w:rPr>
      </w:pPr>
    </w:p>
    <w:p>
      <w:pPr>
        <w:ind w:left="4" w:right="20" w:firstLine="320"/>
        <w:spacing w:after="0" w:line="272" w:lineRule="auto"/>
        <w:tabs>
          <w:tab w:leader="none" w:pos="673"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Solvency</w:t>
      </w:r>
      <w:r>
        <w:rPr>
          <w:rFonts w:ascii="Times New Roman" w:cs="Times New Roman" w:eastAsia="Times New Roman" w:hAnsi="Times New Roman"/>
          <w:sz w:val="17"/>
          <w:szCs w:val="17"/>
          <w:color w:val="auto"/>
        </w:rPr>
        <w:t>. Based on the consolidated financial condition of the Company as of the Closing Date,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w:t>
      </w:r>
    </w:p>
    <w:p>
      <w:pPr>
        <w:spacing w:after="0" w:line="1" w:lineRule="exact"/>
        <w:rPr>
          <w:rFonts w:ascii="Times New Roman" w:cs="Times New Roman" w:eastAsia="Times New Roman" w:hAnsi="Times New Roman"/>
          <w:sz w:val="17"/>
          <w:szCs w:val="17"/>
          <w:color w:val="auto"/>
        </w:rPr>
      </w:pPr>
    </w:p>
    <w:p>
      <w:pPr>
        <w:ind w:left="4" w:hanging="4"/>
        <w:spacing w:after="0" w:line="251" w:lineRule="auto"/>
        <w:tabs>
          <w:tab w:leader="none" w:pos="26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The SEC Reports set forth as of the date hereof all outstanding secured and unsecured Indebtedness of the Company or any Subsidiary, or for which the Company or any Subsidiary has commitments. For the purposes of this Agreement,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(x) any liabilities for borrowed money or amounts owed in excess of $50,000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 Neither the Company nor any Subsidiary is in default with respect to any Indebtedness.</w:t>
      </w:r>
    </w:p>
    <w:p>
      <w:pPr>
        <w:spacing w:after="0" w:line="200" w:lineRule="exact"/>
        <w:rPr>
          <w:sz w:val="20"/>
          <w:szCs w:val="20"/>
          <w:color w:val="auto"/>
        </w:rPr>
      </w:pPr>
    </w:p>
    <w:p>
      <w:pPr>
        <w:spacing w:after="0" w:line="207"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80" w:name="page81"/>
    <w:bookmarkEnd w:id="80"/>
    <w:p>
      <w:pPr>
        <w:ind w:left="4" w:right="200" w:firstLine="320"/>
        <w:spacing w:after="0" w:line="270" w:lineRule="auto"/>
        <w:tabs>
          <w:tab w:leader="none" w:pos="652"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 Status</w:t>
      </w:r>
      <w:r>
        <w:rPr>
          <w:rFonts w:ascii="Times New Roman" w:cs="Times New Roman" w:eastAsia="Times New Roman" w:hAnsi="Times New Roman"/>
          <w:sz w:val="17"/>
          <w:szCs w:val="17"/>
          <w:color w:val="auto"/>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w:t>
      </w:r>
    </w:p>
    <w:p>
      <w:pPr>
        <w:spacing w:after="0" w:line="2" w:lineRule="exact"/>
        <w:rPr>
          <w:rFonts w:ascii="Times New Roman" w:cs="Times New Roman" w:eastAsia="Times New Roman" w:hAnsi="Times New Roman"/>
          <w:sz w:val="17"/>
          <w:szCs w:val="17"/>
          <w:color w:val="auto"/>
        </w:rPr>
      </w:pPr>
    </w:p>
    <w:p>
      <w:pPr>
        <w:ind w:left="4" w:right="180" w:hanging="4"/>
        <w:spacing w:after="0" w:line="255" w:lineRule="auto"/>
        <w:tabs>
          <w:tab w:leader="none" w:pos="31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185" w:lineRule="exact"/>
        <w:rPr>
          <w:rFonts w:ascii="Times New Roman" w:cs="Times New Roman" w:eastAsia="Times New Roman" w:hAnsi="Times New Roman"/>
          <w:sz w:val="18"/>
          <w:szCs w:val="18"/>
          <w:color w:val="auto"/>
        </w:rPr>
      </w:pPr>
    </w:p>
    <w:p>
      <w:pPr>
        <w:ind w:left="4" w:firstLine="320"/>
        <w:spacing w:after="0" w:line="266" w:lineRule="auto"/>
        <w:tabs>
          <w:tab w:leader="none" w:pos="673"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Neither the Company nor any Person acting on behalf of the Company has offered or sold any of the Securities by any form of general solicitation or general advertising. The Company has offered the Securities for sale only to the Purchasers and certain other “accredited investors” within the meaning of Rule 501 under the Securities Act.</w:t>
      </w:r>
    </w:p>
    <w:p>
      <w:pPr>
        <w:spacing w:after="0" w:line="175" w:lineRule="exact"/>
        <w:rPr>
          <w:rFonts w:ascii="Times New Roman" w:cs="Times New Roman" w:eastAsia="Times New Roman" w:hAnsi="Times New Roman"/>
          <w:sz w:val="18"/>
          <w:szCs w:val="18"/>
          <w:color w:val="auto"/>
        </w:rPr>
      </w:pPr>
    </w:p>
    <w:p>
      <w:pPr>
        <w:ind w:left="4" w:right="20" w:firstLine="320"/>
        <w:spacing w:after="0" w:line="256" w:lineRule="auto"/>
        <w:tabs>
          <w:tab w:leader="none" w:pos="652"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spacing w:after="0" w:line="187" w:lineRule="exact"/>
        <w:rPr>
          <w:rFonts w:ascii="Times New Roman" w:cs="Times New Roman" w:eastAsia="Times New Roman" w:hAnsi="Times New Roman"/>
          <w:sz w:val="18"/>
          <w:szCs w:val="18"/>
          <w:color w:val="auto"/>
        </w:rPr>
      </w:pPr>
    </w:p>
    <w:p>
      <w:pPr>
        <w:ind w:left="4" w:firstLine="320"/>
        <w:spacing w:after="0" w:line="266" w:lineRule="auto"/>
        <w:tabs>
          <w:tab w:leader="none" w:pos="609"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The Company’s independent registered public accounting firm is Wolf &amp; Company, P.C..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ending December 31, 2026.</w:t>
      </w:r>
    </w:p>
    <w:p>
      <w:pPr>
        <w:spacing w:after="0" w:line="175" w:lineRule="exact"/>
        <w:rPr>
          <w:rFonts w:ascii="Times New Roman" w:cs="Times New Roman" w:eastAsia="Times New Roman" w:hAnsi="Times New Roman"/>
          <w:sz w:val="18"/>
          <w:szCs w:val="18"/>
          <w:color w:val="auto"/>
        </w:rPr>
      </w:pPr>
    </w:p>
    <w:p>
      <w:pPr>
        <w:ind w:left="4" w:right="120" w:firstLine="320"/>
        <w:spacing w:after="0" w:line="261" w:lineRule="auto"/>
        <w:tabs>
          <w:tab w:leader="none" w:pos="673"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Disagreements with Accountants and Lawyers.</w:t>
      </w:r>
      <w:r>
        <w:rPr>
          <w:rFonts w:ascii="Times New Roman" w:cs="Times New Roman" w:eastAsia="Times New Roman" w:hAnsi="Times New Roman"/>
          <w:sz w:val="18"/>
          <w:szCs w:val="18"/>
          <w:color w:val="auto"/>
        </w:rPr>
        <w:t xml:space="preserve"> There are no disagreements of any kind presently existing, or reasonably anticipated by the Company to arise, between the Company and the accountants and lawyers formerly or presently employed by the Company and the Company is current with respect to any fees owed to its accountants and lawyers which could affect the Company’s ability to perform any of its obligations under any of the Transaction Documents.</w:t>
      </w:r>
    </w:p>
    <w:p>
      <w:pPr>
        <w:spacing w:after="0" w:line="179" w:lineRule="exact"/>
        <w:rPr>
          <w:rFonts w:ascii="Times New Roman" w:cs="Times New Roman" w:eastAsia="Times New Roman" w:hAnsi="Times New Roman"/>
          <w:sz w:val="18"/>
          <w:szCs w:val="18"/>
          <w:color w:val="auto"/>
        </w:rPr>
      </w:pPr>
    </w:p>
    <w:p>
      <w:pPr>
        <w:ind w:left="4" w:right="80" w:firstLine="320"/>
        <w:spacing w:after="0" w:line="254" w:lineRule="auto"/>
        <w:tabs>
          <w:tab w:leader="none" w:pos="673"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Purchase of Securities</w:t>
      </w:r>
      <w:r>
        <w:rPr>
          <w:rFonts w:ascii="Times New Roman" w:cs="Times New Roman" w:eastAsia="Times New Roman" w:hAnsi="Times New Roman"/>
          <w:sz w:val="18"/>
          <w:szCs w:val="18"/>
          <w:color w:val="auto"/>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200" w:lineRule="exact"/>
        <w:rPr>
          <w:sz w:val="20"/>
          <w:szCs w:val="20"/>
          <w:color w:val="auto"/>
        </w:rPr>
      </w:pPr>
    </w:p>
    <w:p>
      <w:pPr>
        <w:spacing w:after="0" w:line="208"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337" w:right="359" w:bottom="1440" w:gutter="0" w:footer="0" w:header="0"/>
        </w:sectPr>
      </w:pPr>
    </w:p>
    <w:bookmarkStart w:id="81" w:name="page82"/>
    <w:bookmarkEnd w:id="81"/>
    <w:p>
      <w:pPr>
        <w:ind w:left="-320" w:right="100" w:firstLine="320"/>
        <w:spacing w:after="0" w:line="252" w:lineRule="auto"/>
        <w:tabs>
          <w:tab w:leader="none" w:pos="26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Trading Activity</w:t>
      </w:r>
      <w:r>
        <w:rPr>
          <w:rFonts w:ascii="Times New Roman" w:cs="Times New Roman" w:eastAsia="Times New Roman" w:hAnsi="Times New Roman"/>
          <w:sz w:val="18"/>
          <w:szCs w:val="18"/>
          <w:color w:val="auto"/>
        </w:rPr>
        <w:t>. Anything in this Agreement or elsewhere herein to the contrary notwithstanding (except for Sections 3.2(f) and 4.14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including, without limitation, during the periods that the value of the Warrant Shares deliverable with respect to Securities are being determined,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197" w:lineRule="exact"/>
        <w:rPr>
          <w:rFonts w:ascii="Times New Roman" w:cs="Times New Roman" w:eastAsia="Times New Roman" w:hAnsi="Times New Roman"/>
          <w:sz w:val="18"/>
          <w:szCs w:val="18"/>
          <w:color w:val="auto"/>
        </w:rPr>
      </w:pPr>
    </w:p>
    <w:p>
      <w:pPr>
        <w:ind w:left="-320" w:right="40" w:firstLine="320"/>
        <w:spacing w:after="0" w:line="258" w:lineRule="auto"/>
        <w:tabs>
          <w:tab w:leader="none" w:pos="26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 M Compliance</w:t>
      </w:r>
      <w:r>
        <w:rPr>
          <w:rFonts w:ascii="Times New Roman" w:cs="Times New Roman" w:eastAsia="Times New Roman" w:hAnsi="Times New Roman"/>
          <w:sz w:val="18"/>
          <w:szCs w:val="18"/>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 (iii) paid or agreed to pay to any Person any compensation for soliciting another to purchase any other securities of the Company, other than, in the case of clauses (ii) and (iii), compensation paid to the Placement Agent in connection with the placement of the Securities.</w:t>
      </w:r>
    </w:p>
    <w:p>
      <w:pPr>
        <w:spacing w:after="0" w:line="183" w:lineRule="exact"/>
        <w:rPr>
          <w:rFonts w:ascii="Times New Roman" w:cs="Times New Roman" w:eastAsia="Times New Roman" w:hAnsi="Times New Roman"/>
          <w:sz w:val="18"/>
          <w:szCs w:val="18"/>
          <w:color w:val="auto"/>
        </w:rPr>
      </w:pPr>
    </w:p>
    <w:p>
      <w:pPr>
        <w:ind w:left="-320" w:firstLine="320"/>
        <w:spacing w:after="0" w:line="282" w:lineRule="auto"/>
        <w:tabs>
          <w:tab w:leader="none" w:pos="34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S-3 Eligibility</w:t>
      </w:r>
      <w:r>
        <w:rPr>
          <w:rFonts w:ascii="Times New Roman" w:cs="Times New Roman" w:eastAsia="Times New Roman" w:hAnsi="Times New Roman"/>
          <w:sz w:val="18"/>
          <w:szCs w:val="18"/>
          <w:color w:val="auto"/>
        </w:rPr>
        <w:t>. The Company is eligible to register the resale of the Securities for resale by the Purchaser on Form S-3 promulgated under the Securities Act.</w:t>
      </w:r>
    </w:p>
    <w:p>
      <w:pPr>
        <w:spacing w:after="0" w:line="161" w:lineRule="exact"/>
        <w:rPr>
          <w:rFonts w:ascii="Times New Roman" w:cs="Times New Roman" w:eastAsia="Times New Roman" w:hAnsi="Times New Roman"/>
          <w:sz w:val="18"/>
          <w:szCs w:val="18"/>
          <w:color w:val="auto"/>
        </w:rPr>
      </w:pPr>
    </w:p>
    <w:p>
      <w:pPr>
        <w:ind w:left="-320" w:firstLine="320"/>
        <w:spacing w:after="0" w:line="252" w:lineRule="auto"/>
        <w:tabs>
          <w:tab w:leader="none" w:pos="26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As to each product subject to the jurisdiction of the U.S. Food and Drug Administration (“</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under the Federal Food, Drug and Cosmetic Act, as amended, and the regulations thereunder (“</w:t>
      </w:r>
      <w:r>
        <w:rPr>
          <w:rFonts w:ascii="Times New Roman" w:cs="Times New Roman" w:eastAsia="Times New Roman" w:hAnsi="Times New Roman"/>
          <w:sz w:val="18"/>
          <w:szCs w:val="18"/>
          <w:u w:val="single" w:color="auto"/>
          <w:color w:val="auto"/>
        </w:rPr>
        <w:t>FDCA</w:t>
      </w:r>
      <w:r>
        <w:rPr>
          <w:rFonts w:ascii="Times New Roman" w:cs="Times New Roman" w:eastAsia="Times New Roman" w:hAnsi="Times New Roman"/>
          <w:sz w:val="18"/>
          <w:szCs w:val="18"/>
          <w:color w:val="auto"/>
        </w:rPr>
        <w:t>”) that is manufactured, packaged, labeled, tested, distributed, sold, and/or marketed by the Company or any of its Subsidiaries (each such product, a “</w:t>
      </w:r>
      <w:r>
        <w:rPr>
          <w:rFonts w:ascii="Times New Roman" w:cs="Times New Roman" w:eastAsia="Times New Roman" w:hAnsi="Times New Roman"/>
          <w:sz w:val="18"/>
          <w:szCs w:val="18"/>
          <w:u w:val="single" w:color="auto"/>
          <w:color w:val="auto"/>
        </w:rPr>
        <w:t>Pharmaceutical Product</w:t>
      </w:r>
      <w:r>
        <w:rPr>
          <w:rFonts w:ascii="Times New Roman" w:cs="Times New Roman" w:eastAsia="Times New Roman" w:hAnsi="Times New Roman"/>
          <w:sz w:val="18"/>
          <w:szCs w:val="18"/>
          <w:color w:val="auto"/>
        </w:rPr>
        <w:t>”), such Pharmaceutical Product is being manufactured, packaged, labeled, tested, distributed, sold and/or marketed by the Company in compliance with all applicable requirements under FDCA and similar laws, rules and regulations relating to registration, investigational use, premarket clearance, licensure, or application approval, good manufacturing practices, good laboratory practices, good clinical practices, product listing, quotas, labeling, advertising, record keeping and filing of reports, except where the failure to be in compliance would not have a Material Adverse Effect. There is no pending, completed or, to the Company’s knowledge, threatened, action (including any lawsuit, arbitration, or legal or administrative or regulatory proceeding, charge, complaint, or investigation) against the Company or any of its Subsidiaries, and none of the Company or any of its Subsidiaries has received any notice, warning letter or other communication from the FDA or any other governmental entity, which (i) contests the premarket clearance, licensure, registration, or approval of, the uses of, the distribution of, the manufacturing or packaging of, the testing of, the sale of, or the labeling and promotion of any Pharmaceutical Product, (ii) withdraws its approval of, requests the recall, suspension, or seizure of, or withdraws or orders the withdrawal of advertising or sales promotional materials relating to, any Pharmaceutical Product, (iii) imposes a clinical hold on any clinical investigation by the Company or any of its Subsidiaries, (iv) enjoins production at any facility of the Company or any of its Subsidiaries, (v) enters or proposes to enter into a consent decree of permanent injunction with the Company or any of its Subsidiaries, or (vi) otherwise alleges any violation of any laws, rules or regulations by the Company or any of its Subsidiaries, and which, either individually or in the aggregate, would have a Material Adverse Effect. The properties, business and operations of the Company have been and are being conducted in all material respects in accordance with all applicable laws, rules and regulations of the FDA. The Company has not been informed by the FDA that the FDA will prohibit the marketing, sale, license or use in the United States of any product proposed to be developed, produced or marketed by the Company nor has the FDA expressed any concern as to approving or clearing for marketing any product being developed or proposed to be developed by the Company.</w:t>
      </w:r>
    </w:p>
    <w:p>
      <w:pPr>
        <w:spacing w:after="0" w:line="200" w:lineRule="exact"/>
        <w:rPr>
          <w:sz w:val="20"/>
          <w:szCs w:val="20"/>
          <w:color w:val="auto"/>
        </w:rPr>
      </w:pPr>
    </w:p>
    <w:p>
      <w:pPr>
        <w:spacing w:after="0" w:line="20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337" w:right="339" w:bottom="1440" w:gutter="0" w:footer="0" w:header="0"/>
        </w:sectPr>
      </w:pPr>
    </w:p>
    <w:bookmarkStart w:id="82" w:name="page83"/>
    <w:bookmarkEnd w:id="82"/>
    <w:p>
      <w:pPr>
        <w:ind w:left="-320" w:right="40" w:firstLine="320"/>
        <w:spacing w:after="0" w:line="256" w:lineRule="auto"/>
        <w:tabs>
          <w:tab w:leader="none" w:pos="449"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Incentive Plans</w:t>
      </w:r>
      <w:r>
        <w:rPr>
          <w:rFonts w:ascii="Times New Roman" w:cs="Times New Roman" w:eastAsia="Times New Roman" w:hAnsi="Times New Roman"/>
          <w:sz w:val="18"/>
          <w:szCs w:val="18"/>
          <w:color w:val="auto"/>
        </w:rPr>
        <w:t>. Each stock option granted by the Company under the Company’s equity incentive plan was granted (i) in accordance with the terms of the such applicable such applicable equity incentive plan and (ii) with an exercise price at least equal to the fair market value of the Common Stock on the date such stock option would be considered granted under GAAP and applicable law. No stock option granted under the Company’s equity incentive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187" w:lineRule="exact"/>
        <w:rPr>
          <w:rFonts w:ascii="Times New Roman" w:cs="Times New Roman" w:eastAsia="Times New Roman" w:hAnsi="Times New Roman"/>
          <w:sz w:val="18"/>
          <w:szCs w:val="18"/>
          <w:color w:val="auto"/>
        </w:rPr>
      </w:pPr>
    </w:p>
    <w:p>
      <w:pPr>
        <w:ind w:left="-320" w:right="120" w:firstLine="320"/>
        <w:spacing w:after="0" w:line="253" w:lineRule="auto"/>
        <w:tabs>
          <w:tab w:leader="none" w:pos="349"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(i)(x)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 w:cs="Times New Roman" w:eastAsia="Times New Roman" w:hAnsi="Times New Roman"/>
          <w:sz w:val="18"/>
          <w:szCs w:val="18"/>
          <w:u w:val="single" w:color="auto"/>
          <w:color w:val="auto"/>
        </w:rPr>
        <w:t>IT Systems and Data</w:t>
      </w:r>
      <w:r>
        <w:rPr>
          <w:rFonts w:ascii="Times New Roman" w:cs="Times New Roman" w:eastAsia="Times New Roman" w:hAnsi="Times New Roman"/>
          <w:sz w:val="18"/>
          <w:szCs w:val="18"/>
          <w:color w:val="auto"/>
        </w:rPr>
        <w:t>”), except as would not, individually or in the aggregate, reasonably be expected to have a Material Adverse Effect, and (y) the Company and the Subsidiaries have not been notified of, and have no knowledge of any event or condition that would reasonably be expected to result in, any security breach or other compromise to its IT Systems and Data;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industry standards and practices.</w:t>
      </w:r>
    </w:p>
    <w:p>
      <w:pPr>
        <w:spacing w:after="0" w:line="189" w:lineRule="exact"/>
        <w:rPr>
          <w:rFonts w:ascii="Times New Roman" w:cs="Times New Roman" w:eastAsia="Times New Roman" w:hAnsi="Times New Roman"/>
          <w:sz w:val="18"/>
          <w:szCs w:val="18"/>
          <w:color w:val="auto"/>
        </w:rPr>
      </w:pPr>
    </w:p>
    <w:p>
      <w:pPr>
        <w:ind w:left="-320" w:firstLine="320"/>
        <w:spacing w:after="0" w:line="266" w:lineRule="auto"/>
        <w:tabs>
          <w:tab w:leader="none" w:pos="349"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 of Foreign Assets Control</w:t>
      </w:r>
      <w:r>
        <w:rPr>
          <w:rFonts w:ascii="Times New Roman" w:cs="Times New Roman" w:eastAsia="Times New Roman" w:hAnsi="Times New Roman"/>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320" w:right="340" w:firstLine="320"/>
        <w:spacing w:after="0" w:line="282" w:lineRule="auto"/>
        <w:tabs>
          <w:tab w:leader="none" w:pos="349"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 Real Property Holding Corporation</w:t>
      </w:r>
      <w:r>
        <w:rPr>
          <w:rFonts w:ascii="Times New Roman" w:cs="Times New Roman" w:eastAsia="Times New Roman" w:hAnsi="Times New Roman"/>
          <w:sz w:val="18"/>
          <w:szCs w:val="18"/>
          <w:color w:val="auto"/>
        </w:rPr>
        <w:t>. The Company is not and has never been a U.S. real property holding corporation within the meaning of Section 897 of the Internal Revenue Code of 1986, as amended, and the Company shall so certify upon Purchaser’s request.</w:t>
      </w:r>
    </w:p>
    <w:p>
      <w:pPr>
        <w:spacing w:after="0" w:line="37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337" w:right="339" w:bottom="1440" w:gutter="0" w:footer="0" w:header="0"/>
        </w:sectPr>
      </w:pPr>
    </w:p>
    <w:bookmarkStart w:id="83" w:name="page84"/>
    <w:bookmarkEnd w:id="83"/>
    <w:p>
      <w:pPr>
        <w:ind w:left="-320" w:right="40" w:firstLine="320"/>
        <w:spacing w:after="0" w:line="256" w:lineRule="auto"/>
        <w:tabs>
          <w:tab w:leader="none" w:pos="349"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Holding Company Act</w:t>
      </w:r>
      <w:r>
        <w:rPr>
          <w:rFonts w:ascii="Times New Roman" w:cs="Times New Roman" w:eastAsia="Times New Roman" w:hAnsi="Times New Roman"/>
          <w:sz w:val="18"/>
          <w:szCs w:val="18"/>
          <w:color w:val="auto"/>
        </w:rPr>
        <w:t>. Neither the Company nor any of its Subsidiaries or Affiliates is subject to the Bank Holding Company Act of 1956, as amended (the “</w:t>
      </w:r>
      <w:r>
        <w:rPr>
          <w:rFonts w:ascii="Times New Roman" w:cs="Times New Roman" w:eastAsia="Times New Roman" w:hAnsi="Times New Roman"/>
          <w:sz w:val="18"/>
          <w:szCs w:val="18"/>
          <w:u w:val="single" w:color="auto"/>
          <w:color w:val="auto"/>
        </w:rPr>
        <w:t>BHCA</w:t>
      </w:r>
      <w:r>
        <w:rPr>
          <w:rFonts w:ascii="Times New Roman" w:cs="Times New Roman" w:eastAsia="Times New Roman" w:hAnsi="Times New Roman"/>
          <w:sz w:val="18"/>
          <w:szCs w:val="18"/>
          <w:color w:val="auto"/>
        </w:rPr>
        <w:t>”) and to regulation by the Board of Governors of the Federal Reserve System (the “</w:t>
      </w:r>
      <w:r>
        <w:rPr>
          <w:rFonts w:ascii="Times New Roman" w:cs="Times New Roman" w:eastAsia="Times New Roman" w:hAnsi="Times New Roman"/>
          <w:sz w:val="18"/>
          <w:szCs w:val="18"/>
          <w:u w:val="single" w:color="auto"/>
          <w:color w:val="auto"/>
        </w:rPr>
        <w:t>Federal Reserve</w:t>
      </w:r>
      <w:r>
        <w:rPr>
          <w:rFonts w:ascii="Times New Roman" w:cs="Times New Roman" w:eastAsia="Times New Roman" w:hAnsi="Times New Roman"/>
          <w:sz w:val="18"/>
          <w:szCs w:val="18"/>
          <w:color w:val="auto"/>
        </w:rPr>
        <w:t>”).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87" w:lineRule="exact"/>
        <w:rPr>
          <w:rFonts w:ascii="Times New Roman" w:cs="Times New Roman" w:eastAsia="Times New Roman" w:hAnsi="Times New Roman"/>
          <w:sz w:val="18"/>
          <w:szCs w:val="18"/>
          <w:color w:val="auto"/>
        </w:rPr>
      </w:pPr>
    </w:p>
    <w:p>
      <w:pPr>
        <w:ind w:left="-320" w:firstLine="320"/>
        <w:spacing w:after="0" w:line="258" w:lineRule="auto"/>
        <w:tabs>
          <w:tab w:leader="none" w:pos="289"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183" w:lineRule="exact"/>
        <w:rPr>
          <w:rFonts w:ascii="Times New Roman" w:cs="Times New Roman" w:eastAsia="Times New Roman" w:hAnsi="Times New Roman"/>
          <w:sz w:val="18"/>
          <w:szCs w:val="18"/>
          <w:color w:val="auto"/>
        </w:rPr>
      </w:pPr>
    </w:p>
    <w:p>
      <w:pPr>
        <w:ind w:left="-320" w:right="40" w:firstLine="320"/>
        <w:spacing w:after="0" w:line="254" w:lineRule="auto"/>
        <w:tabs>
          <w:tab w:leader="none" w:pos="309"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Disqualification Events</w:t>
      </w:r>
      <w:r>
        <w:rPr>
          <w:rFonts w:ascii="Times New Roman" w:cs="Times New Roman" w:eastAsia="Times New Roman" w:hAnsi="Times New Roman"/>
          <w:sz w:val="18"/>
          <w:szCs w:val="18"/>
          <w:color w:val="auto"/>
        </w:rPr>
        <w:t>. With respect to the Securities to be offered and sold hereunder in reliance on Rule 506 under the Securities Act, none of the Company, any of its predecessors, any affiliated issuer, any director, executive officer, other officer of the Company participating in the offering hereunder, any beneficial owner of 20% or more of the Company’s outstanding voting equity securities, calculated on the basis of voting power, nor any promoter (as that term is defined in Rule 405 under the Securities Act) connected with the Company in any capacity at the time of sale (each, an “</w:t>
      </w:r>
      <w:r>
        <w:rPr>
          <w:rFonts w:ascii="Times New Roman" w:cs="Times New Roman" w:eastAsia="Times New Roman" w:hAnsi="Times New Roman"/>
          <w:sz w:val="18"/>
          <w:szCs w:val="18"/>
          <w:u w:val="single" w:color="auto"/>
          <w:color w:val="auto"/>
        </w:rPr>
        <w:t>Issuer Covered Person</w:t>
      </w:r>
      <w:r>
        <w:rPr>
          <w:rFonts w:ascii="Times New Roman" w:cs="Times New Roman" w:eastAsia="Times New Roman" w:hAnsi="Times New Roman"/>
          <w:sz w:val="18"/>
          <w:szCs w:val="18"/>
          <w:color w:val="auto"/>
        </w:rPr>
        <w:t>”) is subject to any of the “Bad Actor” disqualifications described in Rule 506(d)(1)(i) to (viii) under the Securities Act (a “</w:t>
      </w:r>
      <w:r>
        <w:rPr>
          <w:rFonts w:ascii="Times New Roman" w:cs="Times New Roman" w:eastAsia="Times New Roman" w:hAnsi="Times New Roman"/>
          <w:sz w:val="18"/>
          <w:szCs w:val="18"/>
          <w:u w:val="single" w:color="auto"/>
          <w:color w:val="auto"/>
        </w:rPr>
        <w:t>Disqualification Event</w:t>
      </w:r>
      <w:r>
        <w:rPr>
          <w:rFonts w:ascii="Times New Roman" w:cs="Times New Roman" w:eastAsia="Times New Roman" w:hAnsi="Times New Roman"/>
          <w:sz w:val="18"/>
          <w:szCs w:val="18"/>
          <w:color w:val="auto"/>
        </w:rPr>
        <w:t>”),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the Purchasers a copy of any disclosures provided thereunder.</w:t>
      </w:r>
    </w:p>
    <w:p>
      <w:pPr>
        <w:spacing w:after="0" w:line="188" w:lineRule="exact"/>
        <w:rPr>
          <w:rFonts w:ascii="Times New Roman" w:cs="Times New Roman" w:eastAsia="Times New Roman" w:hAnsi="Times New Roman"/>
          <w:sz w:val="18"/>
          <w:szCs w:val="18"/>
          <w:color w:val="auto"/>
        </w:rPr>
      </w:pPr>
    </w:p>
    <w:p>
      <w:pPr>
        <w:ind w:left="-320" w:right="60" w:firstLine="320"/>
        <w:spacing w:after="0" w:line="312" w:lineRule="auto"/>
        <w:tabs>
          <w:tab w:leader="none" w:pos="269"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Other Covered Persons</w:t>
      </w:r>
      <w:r>
        <w:rPr>
          <w:rFonts w:ascii="Times New Roman" w:cs="Times New Roman" w:eastAsia="Times New Roman" w:hAnsi="Times New Roman"/>
          <w:sz w:val="17"/>
          <w:szCs w:val="17"/>
          <w:color w:val="auto"/>
        </w:rPr>
        <w:t>. Other than the Placement Agent, the Company is not aware of any person (other than any Issuer Covered Person) that has been or will be paid (directly or indirectly) remuneration for solicitation of purchasers in connection with the sale of any Securities.</w:t>
      </w:r>
    </w:p>
    <w:p>
      <w:pPr>
        <w:spacing w:after="0" w:line="139" w:lineRule="exact"/>
        <w:rPr>
          <w:rFonts w:ascii="Times New Roman" w:cs="Times New Roman" w:eastAsia="Times New Roman" w:hAnsi="Times New Roman"/>
          <w:sz w:val="17"/>
          <w:szCs w:val="17"/>
          <w:color w:val="auto"/>
        </w:rPr>
      </w:pPr>
    </w:p>
    <w:p>
      <w:pPr>
        <w:ind w:left="-320" w:firstLine="320"/>
        <w:spacing w:after="0" w:line="266" w:lineRule="auto"/>
        <w:tabs>
          <w:tab w:leader="none" w:pos="349"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Disqualification Events</w:t>
      </w:r>
      <w:r>
        <w:rPr>
          <w:rFonts w:ascii="Times New Roman" w:cs="Times New Roman" w:eastAsia="Times New Roman" w:hAnsi="Times New Roman"/>
          <w:sz w:val="18"/>
          <w:szCs w:val="18"/>
          <w:color w:val="auto"/>
        </w:rPr>
        <w:t>. The Company will notify the Purchasers and the Placement Agent in writing, prior to the Closing Date of (i) any Disqualification Event relating to any Issuer Covered Person and (ii) any event that would, with the passage of time, reasonably be expected to become a Disqualification Event relating to any Issuer Covered Person.</w:t>
      </w:r>
    </w:p>
    <w:p>
      <w:pPr>
        <w:spacing w:after="0" w:line="175" w:lineRule="exact"/>
        <w:rPr>
          <w:rFonts w:ascii="Times New Roman" w:cs="Times New Roman" w:eastAsia="Times New Roman" w:hAnsi="Times New Roman"/>
          <w:sz w:val="18"/>
          <w:szCs w:val="18"/>
          <w:color w:val="auto"/>
        </w:rPr>
      </w:pPr>
    </w:p>
    <w:p>
      <w:pPr>
        <w:ind w:left="-320" w:firstLine="320"/>
        <w:spacing w:after="0" w:line="252" w:lineRule="auto"/>
        <w:tabs>
          <w:tab w:leader="none" w:pos="349"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Data Privacy Laws</w:t>
      </w:r>
      <w:r>
        <w:rPr>
          <w:rFonts w:ascii="Times New Roman" w:cs="Times New Roman" w:eastAsia="Times New Roman" w:hAnsi="Times New Roman"/>
          <w:sz w:val="18"/>
          <w:szCs w:val="18"/>
          <w:color w:val="auto"/>
        </w:rPr>
        <w:t>. (i) The Company and the Subsidiaries are, and at all times were, in compliance with all applicable state, federal and foreign data privacy and security laws and regulations, including, without limitation and to the extent applicable to the Company and the Subsidiaries, the European Union General Data Protection Regulation (“</w:t>
      </w:r>
      <w:r>
        <w:rPr>
          <w:rFonts w:ascii="Times New Roman" w:cs="Times New Roman" w:eastAsia="Times New Roman" w:hAnsi="Times New Roman"/>
          <w:sz w:val="18"/>
          <w:szCs w:val="18"/>
          <w:u w:val="single" w:color="auto"/>
          <w:color w:val="auto"/>
        </w:rPr>
        <w:t>GDPR</w:t>
      </w:r>
      <w:r>
        <w:rPr>
          <w:rFonts w:ascii="Times New Roman" w:cs="Times New Roman" w:eastAsia="Times New Roman" w:hAnsi="Times New Roman"/>
          <w:sz w:val="18"/>
          <w:szCs w:val="18"/>
          <w:color w:val="auto"/>
        </w:rPr>
        <w:t>”) (EU 2016/679) (collectively, “</w:t>
      </w:r>
      <w:r>
        <w:rPr>
          <w:rFonts w:ascii="Times New Roman" w:cs="Times New Roman" w:eastAsia="Times New Roman" w:hAnsi="Times New Roman"/>
          <w:sz w:val="18"/>
          <w:szCs w:val="18"/>
          <w:u w:val="single" w:color="auto"/>
          <w:color w:val="auto"/>
        </w:rPr>
        <w:t>Privacy Laws</w:t>
      </w:r>
      <w:r>
        <w:rPr>
          <w:rFonts w:ascii="Times New Roman" w:cs="Times New Roman" w:eastAsia="Times New Roman" w:hAnsi="Times New Roman"/>
          <w:sz w:val="18"/>
          <w:szCs w:val="18"/>
          <w:color w:val="auto"/>
        </w:rPr>
        <w:t>”); (ii) the Company and the Subsidiaries have in place, comply with, and take appropriate steps reasonably designed to ensure compliance with their policies and procedures relating to data privacy and security and the collection, storage, use, disclosure, handling and analysis of Personal Data (as defined below) (the “</w:t>
      </w:r>
      <w:r>
        <w:rPr>
          <w:rFonts w:ascii="Times New Roman" w:cs="Times New Roman" w:eastAsia="Times New Roman" w:hAnsi="Times New Roman"/>
          <w:sz w:val="18"/>
          <w:szCs w:val="18"/>
          <w:u w:val="single" w:color="auto"/>
          <w:color w:val="auto"/>
        </w:rPr>
        <w:t>Policies</w:t>
      </w:r>
      <w:r>
        <w:rPr>
          <w:rFonts w:ascii="Times New Roman" w:cs="Times New Roman" w:eastAsia="Times New Roman" w:hAnsi="Times New Roman"/>
          <w:sz w:val="18"/>
          <w:szCs w:val="18"/>
          <w:color w:val="auto"/>
        </w:rPr>
        <w:t>”); (iii) the Company provides accurate notice of its applicable Policies to its customers, employees, third party vendors and representatives as required by Privacy Laws; and (iv) applicable Policies provide accurate and sufficient notice of the Company’s then-current privacy practices relating to its subject matter, and do not contain any material omissions of the Company’s then-current privacy practices, as required by Privacy Laws. “</w:t>
      </w: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means (i) a natural person’s name, street address, telephone number, email address, photograph, social security number, bank information, or customer or account number; (ii) “personal data” as defined by GDPR; and (iii) any other piece of information that allows the identification of such natural person, or his or her family, or permits the collection or analysis of any identifiable data related to an identified person’s health or sexual orientation. None of such disclosures made or contained in any of the Policies have been inaccurate, misleading, or deceptive in violation of any Privacy Laws and the Company does not have any reason to believe that the execution, delivery and performance of the Transaction Documents will result in a breach of any Privacy Laws or Policies. Neither the Company nor the Subsidiaries, (i) has, to the knowledge of the Company, received written notice of any actual or potential liability of the Company or the Subsidiaries under, or actual or potential violation by the Company or the Subsidiaries of, any of the Privacy Laws; (ii) is currently conducting or paying for, in whole or in part, any investigation, remediation or other corrective action pursuant to any regulatory request or demand pursuant to any Privacy Law; or (iii) is a party to any order, decree, or agreement by or with any court or arbitrator or governmental or regulatory authority that imposed any obligation or liability under any Privacy Law.</w:t>
      </w:r>
    </w:p>
    <w:p>
      <w:pPr>
        <w:spacing w:after="0" w:line="200" w:lineRule="exact"/>
        <w:rPr>
          <w:sz w:val="20"/>
          <w:szCs w:val="20"/>
          <w:color w:val="auto"/>
        </w:rPr>
      </w:pPr>
    </w:p>
    <w:p>
      <w:pPr>
        <w:spacing w:after="0" w:line="20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40"/>
          </w:cols>
          <w:pgMar w:left="1300" w:top="337" w:right="359" w:bottom="1440" w:gutter="0" w:footer="0" w:header="0"/>
        </w:sectPr>
      </w:pPr>
    </w:p>
    <w:bookmarkStart w:id="84" w:name="page85"/>
    <w:bookmarkEnd w:id="84"/>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Representations and Warranties of the Purchasers</w:t>
      </w:r>
      <w:r>
        <w:rPr>
          <w:rFonts w:ascii="Times New Roman" w:cs="Times New Roman" w:eastAsia="Times New Roman" w:hAnsi="Times New Roman"/>
          <w:sz w:val="18"/>
          <w:szCs w:val="18"/>
          <w:color w:val="auto"/>
        </w:rPr>
        <w:t>. Each Purchaser, for itself and for no other Purchaser, hereby represents and warrants as of the date hereof and as of the Closing Date to the Company as follows (unless as of a specific date therein, in which case they shall be accurate as of such date):</w:t>
      </w:r>
    </w:p>
    <w:p>
      <w:pPr>
        <w:spacing w:after="0" w:line="176" w:lineRule="exact"/>
        <w:rPr>
          <w:sz w:val="20"/>
          <w:szCs w:val="20"/>
          <w:color w:val="auto"/>
        </w:rPr>
      </w:pPr>
    </w:p>
    <w:p>
      <w:pPr>
        <w:ind w:left="660" w:firstLine="320"/>
        <w:spacing w:after="0" w:line="253" w:lineRule="auto"/>
        <w:tabs>
          <w:tab w:leader="none" w:pos="1228"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1" w:lineRule="exact"/>
        <w:rPr>
          <w:rFonts w:ascii="Times New Roman" w:cs="Times New Roman" w:eastAsia="Times New Roman" w:hAnsi="Times New Roman"/>
          <w:sz w:val="18"/>
          <w:szCs w:val="18"/>
          <w:color w:val="auto"/>
        </w:rPr>
      </w:pPr>
    </w:p>
    <w:p>
      <w:pPr>
        <w:ind w:left="660" w:right="20" w:firstLine="320"/>
        <w:spacing w:after="0" w:line="253" w:lineRule="auto"/>
        <w:tabs>
          <w:tab w:leader="none" w:pos="1239"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Understandings or Arrangements</w:t>
      </w:r>
      <w:r>
        <w:rPr>
          <w:rFonts w:ascii="Times New Roman" w:cs="Times New Roman" w:eastAsia="Times New Roman" w:hAnsi="Times New Roman"/>
          <w:sz w:val="18"/>
          <w:szCs w:val="18"/>
          <w:color w:val="auto"/>
        </w:rPr>
        <w:t>. Such Purchaser is acquiring the Securities as principal for its own account and has no direct or indirect arrangement or understandings with any other persons to distribute or regarding the distribution of such Securities (this representation and warranty not limiting such Purchaser’s right to sell the Securities pursuant to the Registration Statement or otherwise in compliance with applicable federal and state securities laws). Such Purchaser understands that the Securities are “restricted securities” and have not been registered under the Securities Act or any applicable state securities law and is acquiring such Securities as principal for his, her or its own account and not with a view to or for distributing or reselling such Securities or any part thereof in violation of the Securities Act or any applicable state securities law, has no present intention of distributing any of such Securities in violation of the Securities Act or any applicable state securities law and has no direct or indirect arrangement or understandings with any other persons to distribute or regarding the distribution of such Securities in violation of the Securities Act or any applicable state securities law (this representation and warranty not limiting such Purchaser’s right to sell such Securities pursuant to the Registration Statement or otherwise in compliance with applicable federal and state securities laws). Such Purchaser is acquiring the Securities hereunder in the ordinary course of its business.</w:t>
      </w:r>
    </w:p>
    <w:p>
      <w:pPr>
        <w:spacing w:after="0" w:line="191" w:lineRule="exact"/>
        <w:rPr>
          <w:rFonts w:ascii="Times New Roman" w:cs="Times New Roman" w:eastAsia="Times New Roman" w:hAnsi="Times New Roman"/>
          <w:sz w:val="18"/>
          <w:szCs w:val="18"/>
          <w:color w:val="auto"/>
        </w:rPr>
      </w:pPr>
    </w:p>
    <w:p>
      <w:pPr>
        <w:jc w:val="both"/>
        <w:ind w:left="660" w:right="40" w:firstLine="320"/>
        <w:spacing w:after="0" w:line="276" w:lineRule="auto"/>
        <w:tabs>
          <w:tab w:leader="none" w:pos="1228"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Purchaser Status</w:t>
      </w:r>
      <w:r>
        <w:rPr>
          <w:rFonts w:ascii="Times New Roman" w:cs="Times New Roman" w:eastAsia="Times New Roman" w:hAnsi="Times New Roman"/>
          <w:sz w:val="17"/>
          <w:szCs w:val="17"/>
          <w:color w:val="auto"/>
        </w:rPr>
        <w:t>. At the time such Purchaser was offered the Securities, it was, and as of the date hereof it is, and on each date on which it exercises any Warrants, it will be either: (i) an “accredited investor” as defined in Rule 501(a)(1), (a)(2), (a)(3), (a)(7), (a)(8), (a)(9), (a)(12), or (a)</w:t>
      </w:r>
    </w:p>
    <w:p>
      <w:pPr>
        <w:ind w:left="1000" w:hanging="344"/>
        <w:spacing w:after="0"/>
        <w:tabs>
          <w:tab w:leader="none" w:pos="10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Securities Act or (ii) a “qualified institutional buyer” as defined in Rule 144A(a) under the Securities Act.</w:t>
      </w:r>
    </w:p>
    <w:p>
      <w:pPr>
        <w:spacing w:after="0" w:line="206" w:lineRule="exact"/>
        <w:rPr>
          <w:rFonts w:ascii="Times New Roman" w:cs="Times New Roman" w:eastAsia="Times New Roman" w:hAnsi="Times New Roman"/>
          <w:sz w:val="18"/>
          <w:szCs w:val="18"/>
          <w:color w:val="auto"/>
        </w:rPr>
      </w:pPr>
    </w:p>
    <w:p>
      <w:pPr>
        <w:ind w:left="660" w:right="140" w:firstLine="320"/>
        <w:spacing w:after="0" w:line="261" w:lineRule="auto"/>
        <w:tabs>
          <w:tab w:leader="none" w:pos="1239"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Experience of Such Purchaser</w:t>
      </w:r>
      <w:r>
        <w:rPr>
          <w:rFonts w:ascii="Times New Roman" w:cs="Times New Roman" w:eastAsia="Times New Roman" w:hAnsi="Times New Roman"/>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85" w:name="page86"/>
    <w:bookmarkEnd w:id="85"/>
    <w:p>
      <w:pPr>
        <w:ind w:left="660" w:firstLine="320"/>
        <w:spacing w:after="0" w:line="253" w:lineRule="auto"/>
        <w:tabs>
          <w:tab w:leader="none" w:pos="1228"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Securities nor is such information or advice necessary or desired. Neither the Placement Agent nor any Affiliate has made or makes any representation as to the Company or the quality of the Securities and the Placement Agent and any Affiliate may have acquired non-public information with respect to the Company which such Purchaser agrees need not be provided to it. In connection with the issuance of the Securities to such Purchaser, neither the Placement Agent nor any of its Affiliates has acted as a financial advisor or fiduciary to such Purchaser.</w:t>
      </w:r>
    </w:p>
    <w:p>
      <w:pPr>
        <w:spacing w:after="0" w:line="189" w:lineRule="exact"/>
        <w:rPr>
          <w:rFonts w:ascii="Times New Roman" w:cs="Times New Roman" w:eastAsia="Times New Roman" w:hAnsi="Times New Roman"/>
          <w:sz w:val="18"/>
          <w:szCs w:val="18"/>
          <w:color w:val="auto"/>
        </w:rPr>
      </w:pPr>
    </w:p>
    <w:p>
      <w:pPr>
        <w:ind w:left="660" w:right="120" w:firstLine="320"/>
        <w:spacing w:after="0" w:line="252" w:lineRule="auto"/>
        <w:tabs>
          <w:tab w:leader="none" w:pos="1209"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97" w:lineRule="exact"/>
        <w:rPr>
          <w:rFonts w:ascii="Times New Roman" w:cs="Times New Roman" w:eastAsia="Times New Roman" w:hAnsi="Times New Roman"/>
          <w:sz w:val="18"/>
          <w:szCs w:val="18"/>
          <w:color w:val="auto"/>
        </w:rPr>
      </w:pPr>
    </w:p>
    <w:p>
      <w:pPr>
        <w:ind w:left="660" w:right="60" w:firstLine="320"/>
        <w:spacing w:after="0" w:line="266" w:lineRule="auto"/>
        <w:tabs>
          <w:tab w:leader="none" w:pos="1239"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Solicitation</w:t>
      </w:r>
      <w:r>
        <w:rPr>
          <w:rFonts w:ascii="Times New Roman" w:cs="Times New Roman" w:eastAsia="Times New Roman" w:hAnsi="Times New Roman"/>
          <w:sz w:val="18"/>
          <w:szCs w:val="18"/>
          <w:color w:val="auto"/>
        </w:rPr>
        <w:t>. Such Purchaser is not purchasing the Securities as a result of any advertisement, article, notice or other communication regarding the Securities published in any newspaper, magazine or similar media or broadcast over television or radio or presented at any seminar or, to the knowledge of such Purchaser, any other general solicitation or general advertisement.</w:t>
      </w:r>
    </w:p>
    <w:p>
      <w:pPr>
        <w:spacing w:after="0" w:line="176"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86" w:name="page87"/>
    <w:bookmarkEnd w:id="86"/>
    <w:p>
      <w:pPr>
        <w:jc w:val="center"/>
        <w:ind w:right="616"/>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616"/>
        <w:spacing w:after="0"/>
        <w:rPr>
          <w:sz w:val="20"/>
          <w:szCs w:val="20"/>
          <w:color w:val="auto"/>
        </w:rPr>
      </w:pPr>
      <w:r>
        <w:rPr>
          <w:rFonts w:ascii="Times New Roman" w:cs="Times New Roman" w:eastAsia="Times New Roman" w:hAnsi="Times New Roman"/>
          <w:sz w:val="18"/>
          <w:szCs w:val="18"/>
          <w:color w:val="auto"/>
        </w:rPr>
        <w:t>OTHER AGREEMENTS OF THE PARTIES</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Transfer Restrictions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320"/>
        <w:spacing w:after="0" w:line="255" w:lineRule="auto"/>
        <w:tabs>
          <w:tab w:leader="none" w:pos="569"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may only be disposed of in compliance with state and federal securities laws. In connection with any transfer of the Securities other than pursuant to an effective registration statement or Rule 144, to the Company or to an Affiliate of a Purchaser or in connection with a pledge as contemplated in Section 4.1(b),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Securities under the Securities Act. As a condition of transfer, any such transferee shall agree in writing to be bound by the terms of this Agreement and the Registration Rights Agreement and shall have the rights and obligations of a Purchaser under this Agreement and the Registration Rights Agreement.</w:t>
      </w:r>
    </w:p>
    <w:p>
      <w:pPr>
        <w:spacing w:after="0" w:line="188" w:lineRule="exact"/>
        <w:rPr>
          <w:rFonts w:ascii="Times New Roman" w:cs="Times New Roman" w:eastAsia="Times New Roman" w:hAnsi="Times New Roman"/>
          <w:sz w:val="18"/>
          <w:szCs w:val="18"/>
          <w:color w:val="auto"/>
        </w:rPr>
      </w:pPr>
    </w:p>
    <w:p>
      <w:pPr>
        <w:ind w:left="624" w:hanging="300"/>
        <w:spacing w:after="0"/>
        <w:tabs>
          <w:tab w:leader="none" w:pos="62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Purchasers agree to the imprinting, so long as is required by this Section 4.1, of a legend on any of the Securities in the following</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w:t>
      </w:r>
    </w:p>
    <w:p>
      <w:pPr>
        <w:spacing w:after="0" w:line="207"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NEITHER THIS SECURITY NOR THE SECURITIES INTO WHICH THIS SECURITY IS EXERCISABLE HAS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AND THE SECURITIES ISSUABLE UPON EXERCISE OF THIS SECURITY MAY BE PLEDGED IN CONNECTION WITH A BONA FIDE MARGIN ACCOUNT WITH A REGISTERED BROKER-DEALER OR OTHER LOAN WITH A FINANCIAL INSTITUTION THAT IS AN “ACCREDITED INVESTOR” AS DEFINED IN RULE 501(a) UNDER THE SECURITIES ACT OR OTHER LOAN SECURED BY SUCH SECURITIES.</w:t>
      </w:r>
    </w:p>
    <w:p>
      <w:pPr>
        <w:spacing w:after="0" w:line="194" w:lineRule="exact"/>
        <w:rPr>
          <w:sz w:val="20"/>
          <w:szCs w:val="20"/>
          <w:color w:val="auto"/>
        </w:rPr>
      </w:pPr>
    </w:p>
    <w:p>
      <w:pPr>
        <w:ind w:left="4" w:right="60" w:firstLine="324"/>
        <w:spacing w:after="0" w:line="268" w:lineRule="auto"/>
        <w:rPr>
          <w:sz w:val="20"/>
          <w:szCs w:val="20"/>
          <w:color w:val="auto"/>
        </w:rPr>
      </w:pPr>
      <w:r>
        <w:rPr>
          <w:rFonts w:ascii="Times New Roman" w:cs="Times New Roman" w:eastAsia="Times New Roman" w:hAnsi="Times New Roman"/>
          <w:sz w:val="17"/>
          <w:szCs w:val="17"/>
          <w:color w:val="auto"/>
        </w:rPr>
        <w:t>The Company acknowledges and agrees that a Purchaser may from time to time pledge pursuant to a bona fide margin agreement with a registered broker-dealer or grant a security interest in some or all of the Securities to a financial institution that is an “accredited investor” as defined in Rule 501(a) under the Securities Act and, if required under the terms of such arrangement, such Purchaser may transfer pledged or secured Securities to the pledgees or secured parties. Such a pledge or transfer would not be subject to approval of the Company and no legal opinion of legal counsel of the pledgee, secured party or pledgor shall be required in connection therewith. Further, no notice shall be required of such pledge. At the appropriate Purchaser’s expense, the Company will execute and deliver such reasonable documentation as a pledgee or secured party of Securities may reasonably request in connection with a pledge or transfer of the Securities, including, if the Securities are subject to registration pursuant to the Registration Rights Agreement, the preparation and filing of any required prospectus supplement under Rule 424(b)</w:t>
      </w:r>
    </w:p>
    <w:p>
      <w:pPr>
        <w:ind w:left="4" w:right="120" w:hanging="4"/>
        <w:spacing w:after="0" w:line="260" w:lineRule="auto"/>
        <w:tabs>
          <w:tab w:leader="none" w:pos="25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Securities Act or other applicable provision of the Securities Act to appropriately amend the list of Selling Stockholders (as defined in the Registration Rights Agreement) thereunder.</w:t>
      </w:r>
    </w:p>
    <w:p>
      <w:pPr>
        <w:spacing w:after="0" w:line="397"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333" w:right="359" w:bottom="1440" w:gutter="0" w:footer="0" w:header="0"/>
        </w:sectPr>
      </w:pPr>
    </w:p>
    <w:bookmarkStart w:id="87" w:name="page88"/>
    <w:bookmarkEnd w:id="87"/>
    <w:p>
      <w:pPr>
        <w:ind w:left="-320" w:right="20" w:firstLine="320"/>
        <w:spacing w:after="0" w:line="267" w:lineRule="auto"/>
        <w:tabs>
          <w:tab w:leader="none" w:pos="249"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Certificates evidencing the Shares and Warrant Shares shall not contain any legend (including the legend set forth in Section 4.1(b) hereof), (i) while a registration statement (including the Registration Statement) covering the resale of such security is effective under the Securities Act, (ii) following any sale of such Shares or Warrant Shares pursuant to Rule 144 (assuming cashless exercise of the Warrants), (iii) if such Shares or Warrant Shares are eligible for sale under Rule 144 (assuming cashless exercise of the Warrants), without the requirement for the Company to be in compliance with the current public information required under Rule 144 as to such Shares and Warrant Shares and without volume or manner-of-sale restrictions, or (iv) if such legend is not required under applicable requirements of the Securities Act (including judicial interpretations and pronouncements issued by the staff of the Commission). The Company shall cause its counsel to issue a legal opinion to the Transfer Agent or the Purchaser promptly after the Effective Date if required by the Transfer Agent to effect the removal of the legend hereunder, or if requested by a Purchaser, respectively. If all or any portion of a Warrant is exercised at a time when there is an effective registration statement to cover the resale of the Warrant Shares, or if such Shares or Warrant Shares may be sold under Rule 144 and the Company is then in compliance with the current public information required under Rule 144 (assuming cashless exercise of the Warrants), or if the Shares or Warrant Shares may be sold under Rule 144 without the requirement for the Company to be in compliance with the current public information required under Rule 144 as to such Shares or Warrant Shares or if such legend is not otherwise required under applicable requirements of the Securities Act (including judicial interpretations and pronouncements issued by the staff of the Commission) then such Warrant Shares shall be issued free of all legends. The Company agrees that following the Effective Date or at such time as such legend is no longer required under this Section 4.1(c), it will, no later than the earlier of (i) one (1) Trading Day and (ii) the number of Trading Days comprising the Standard Settlement Period (as defined below) following the delivery by a Purchaser to the Company or the Transfer Agent of a certificate representing Shares or Warrant Shares, as the case may be, issued with a restrictive legend (such date, the “</w:t>
      </w:r>
      <w:r>
        <w:rPr>
          <w:rFonts w:ascii="Times New Roman" w:cs="Times New Roman" w:eastAsia="Times New Roman" w:hAnsi="Times New Roman"/>
          <w:sz w:val="17"/>
          <w:szCs w:val="17"/>
          <w:u w:val="single" w:color="auto"/>
          <w:color w:val="auto"/>
        </w:rPr>
        <w:t>Legend Removal Date</w:t>
      </w:r>
      <w:r>
        <w:rPr>
          <w:rFonts w:ascii="Times New Roman" w:cs="Times New Roman" w:eastAsia="Times New Roman" w:hAnsi="Times New Roman"/>
          <w:sz w:val="17"/>
          <w:szCs w:val="17"/>
          <w:color w:val="auto"/>
        </w:rPr>
        <w:t>”), deliver or cause to be delivered to such Purchaser a certificate representing such shares that is free from all restrictive and other legends. The Company may not make any notation on its records or give instructions to the Transfer Agent that enlarge the restrictions on transfer set forth in this Section 4. Certificates for Securities subject to legend removal hereunder shall be transmitted by the Transfer Agent to the Purchaser by crediting the account of the Purchaser’s prime broker with the Depository Trust Company System as directed by such Purchaser. As used herein, “</w:t>
      </w:r>
      <w:r>
        <w:rPr>
          <w:rFonts w:ascii="Times New Roman" w:cs="Times New Roman" w:eastAsia="Times New Roman" w:hAnsi="Times New Roman"/>
          <w:sz w:val="17"/>
          <w:szCs w:val="17"/>
          <w:u w:val="single" w:color="auto"/>
          <w:color w:val="auto"/>
        </w:rPr>
        <w:t>Standard Settlement Period</w:t>
      </w:r>
      <w:r>
        <w:rPr>
          <w:rFonts w:ascii="Times New Roman" w:cs="Times New Roman" w:eastAsia="Times New Roman" w:hAnsi="Times New Roman"/>
          <w:sz w:val="17"/>
          <w:szCs w:val="17"/>
          <w:color w:val="auto"/>
        </w:rPr>
        <w:t>” means the standard settlement period, expressed in a number of Trading Days, on the Company’s primary Trading Market with respect to the Common Stock as in effect on the date of delivery of a certificate representing Shares or Warrant Shares, as the case may be, issued with a restrictive legend.</w:t>
      </w:r>
    </w:p>
    <w:p>
      <w:pPr>
        <w:spacing w:after="0" w:line="398" w:lineRule="exact"/>
        <w:rPr>
          <w:rFonts w:ascii="Times New Roman" w:cs="Times New Roman" w:eastAsia="Times New Roman" w:hAnsi="Times New Roman"/>
          <w:sz w:val="17"/>
          <w:szCs w:val="17"/>
          <w:color w:val="auto"/>
        </w:rPr>
      </w:pPr>
    </w:p>
    <w:p>
      <w:pPr>
        <w:ind w:left="-320" w:firstLine="320"/>
        <w:spacing w:after="0" w:line="252" w:lineRule="auto"/>
        <w:tabs>
          <w:tab w:leader="none" w:pos="259"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such Purchaser’s other available remedies, the Company shall pay to a Purchaser, in cash, (i) as partial liquidated damages and not as a penalty, for each $1,000 of Shares or Warrant Shares (based on the VWAP of the Common Stock on the date such Securities are submitted to the Transfer Agent) delivered for removal of the restrictive legend and subject to Section 4.1(c), $10 per Trading Day (increasing to $20 per Trading Day five (5) Trading Days after the Legend Removal Date) for each Trading Day after the Legend Removal Date until such certificate is delivered without a legend and (ii) if the Company fails to (a) issue and deliver (or cause to be delivered) to a Purchaser by the Legend Removal Date a certificate representing the Securities so delivered to the Company by such Purchaser that is free from all restrictive and other legends and (b) if after the Legend Removal Date such Purchaser purchases (in an open market transaction or otherwise) shares of Common Stock to deliver in satisfaction of a sale by such Purchaser of all or any portion of the number of shares of Common Stock, or a sale of a number of shares of Common Stock equal to all or any portion of the number of shares of Common Stock, that such Purchaser anticipated receiving from the Company without any restrictive legend, then an amount equal to the excess of such Purchaser’s total purchase price (including brokerage commissions and other out-of-pocket expenses, if any) for the shares of Common Stock so purchased (including brokerage commissions and other out-of-pocket expenses, if any) (the “</w:t>
      </w:r>
      <w:r>
        <w:rPr>
          <w:rFonts w:ascii="Times New Roman" w:cs="Times New Roman" w:eastAsia="Times New Roman" w:hAnsi="Times New Roman"/>
          <w:sz w:val="18"/>
          <w:szCs w:val="18"/>
          <w:u w:val="single" w:color="auto"/>
          <w:color w:val="auto"/>
        </w:rPr>
        <w:t>Buy-In Price</w:t>
      </w:r>
      <w:r>
        <w:rPr>
          <w:rFonts w:ascii="Times New Roman" w:cs="Times New Roman" w:eastAsia="Times New Roman" w:hAnsi="Times New Roman"/>
          <w:sz w:val="18"/>
          <w:szCs w:val="18"/>
          <w:color w:val="auto"/>
        </w:rPr>
        <w:t>”) over the product of (A) such number of Shares or Warrant Shares that the Company was required to deliver to such Purchaser by the Legend Removal Date multiplied by (B) the lowest closing sale price of the Common Stock on any Trading Day during the period commencing on the date of the delivery by such Purchaser to the Company of the applicable Shares or Warrant Shares (as the case may be) and ending on the date of such delivery and payment under this Section 4(d).</w:t>
      </w:r>
    </w:p>
    <w:p>
      <w:pPr>
        <w:spacing w:after="0" w:line="200" w:lineRule="exact"/>
        <w:rPr>
          <w:sz w:val="20"/>
          <w:szCs w:val="20"/>
          <w:color w:val="auto"/>
        </w:rPr>
      </w:pPr>
    </w:p>
    <w:p>
      <w:pPr>
        <w:spacing w:after="0" w:line="21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337" w:right="339" w:bottom="1440" w:gutter="0" w:footer="0" w:header="0"/>
        </w:sectPr>
      </w:pPr>
    </w:p>
    <w:bookmarkStart w:id="88" w:name="page89"/>
    <w:bookmarkEnd w:id="88"/>
    <w:p>
      <w:pPr>
        <w:ind w:left="660" w:right="20" w:firstLine="320"/>
        <w:spacing w:after="0" w:line="258" w:lineRule="auto"/>
        <w:tabs>
          <w:tab w:leader="none" w:pos="122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Purchaser, severally and not jointly with the other Purchasers, agrees with the Company that such Purchaser will sell any Securities pursuant to either the registration requirements of the Securities Act, including any applicable prospectus delivery requirements, or an exemption therefrom, and that if Securities are sold pursuant to a Registration Statement, they will be sold in compliance with the plan of distribution set forth therein, and acknowledges that the removal of the restrictive legend from certificates representing Securities as set forth in this Section 4.1 is predicated upon the Company’s reliance upon this understanding.</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Furnishing of Information; Public Information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320"/>
        <w:spacing w:after="0" w:line="261" w:lineRule="auto"/>
        <w:tabs>
          <w:tab w:leader="none" w:pos="1229"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earlier of the time that (i) no Purchaser owns Securities or (ii) the Warrants have expired, the Company covenants to maintain the registration of the Common Stock under Section 12(b) or 12(g) of the Exchange Act and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spacing w:after="0" w:line="179" w:lineRule="exact"/>
        <w:rPr>
          <w:rFonts w:ascii="Times New Roman" w:cs="Times New Roman" w:eastAsia="Times New Roman" w:hAnsi="Times New Roman"/>
          <w:sz w:val="18"/>
          <w:szCs w:val="18"/>
          <w:color w:val="auto"/>
        </w:rPr>
      </w:pPr>
    </w:p>
    <w:p>
      <w:pPr>
        <w:ind w:left="660" w:firstLine="320"/>
        <w:spacing w:after="0" w:line="268" w:lineRule="auto"/>
        <w:tabs>
          <w:tab w:leader="none" w:pos="1229"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time during the period commencing from the six (6) month anniversary of the date hereof and ending at such time that all of the Securities may be sold without the requirement for the Company to be in compliance with Rule 144(c)(1) and otherwise without restriction or limitation pursuant to Rule 144, if the Company (i) shall fail for any reason to satisfy the current public information requirement under Rule 144(c) or (ii) has ever been an issuer described in Rule 144(i)(1)(i) or becomes an issuer in the future, and the Company shall fail to satisfy any condition set forth in Rule 144(i)(2) (a “</w:t>
      </w:r>
      <w:r>
        <w:rPr>
          <w:rFonts w:ascii="Times New Roman" w:cs="Times New Roman" w:eastAsia="Times New Roman" w:hAnsi="Times New Roman"/>
          <w:sz w:val="17"/>
          <w:szCs w:val="17"/>
          <w:u w:val="single" w:color="auto"/>
          <w:color w:val="auto"/>
        </w:rPr>
        <w:t>Public Information Failure</w:t>
      </w:r>
      <w:r>
        <w:rPr>
          <w:rFonts w:ascii="Times New Roman" w:cs="Times New Roman" w:eastAsia="Times New Roman" w:hAnsi="Times New Roman"/>
          <w:sz w:val="17"/>
          <w:szCs w:val="17"/>
          <w:color w:val="auto"/>
        </w:rPr>
        <w:t>”) then, in addition to such Purchaser’s other available remedies, the Company shall pay to a Purchaser, in cash, as partial liquidated damages and not as a penalty, by reason of any such delay in or reduction of its ability to sell the Securities, an amount in cash equal to two percent (2.0%) of the Subscription Amount of such Purchaser’s Securities on the day of a Public</w:t>
      </w:r>
    </w:p>
    <w:p>
      <w:pPr>
        <w:spacing w:after="0" w:line="2" w:lineRule="exact"/>
        <w:rPr>
          <w:sz w:val="20"/>
          <w:szCs w:val="20"/>
          <w:color w:val="auto"/>
        </w:rPr>
      </w:pPr>
    </w:p>
    <w:p>
      <w:pPr>
        <w:ind w:left="660" w:right="80"/>
        <w:spacing w:after="0" w:line="227" w:lineRule="auto"/>
        <w:rPr>
          <w:sz w:val="20"/>
          <w:szCs w:val="20"/>
          <w:color w:val="auto"/>
        </w:rPr>
      </w:pPr>
      <w:r>
        <w:rPr>
          <w:rFonts w:ascii="Times New Roman" w:cs="Times New Roman" w:eastAsia="Times New Roman" w:hAnsi="Times New Roman"/>
          <w:sz w:val="18"/>
          <w:szCs w:val="18"/>
          <w:color w:val="auto"/>
        </w:rPr>
        <w:t>Information Failure and on every thirtieth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(pro rated for periods totaling less than thirty days) thereafter until the earlier of (a) the date such Public Information Failure is cured and (b) such time that such public information is no longer required for the Purchasers to transfer the Shares and Warrant Shares pursuant to Rule 144. The payments to which a Purchaser shall be entitled pursuant to this Section 4.2(b) are referred to herein as “</w:t>
      </w:r>
      <w:r>
        <w:rPr>
          <w:rFonts w:ascii="Times New Roman" w:cs="Times New Roman" w:eastAsia="Times New Roman" w:hAnsi="Times New Roman"/>
          <w:sz w:val="18"/>
          <w:szCs w:val="18"/>
          <w:u w:val="single" w:color="auto"/>
          <w:color w:val="auto"/>
        </w:rPr>
        <w:t>Public Information Failure Payments</w:t>
      </w:r>
      <w:r>
        <w:rPr>
          <w:rFonts w:ascii="Times New Roman" w:cs="Times New Roman" w:eastAsia="Times New Roman" w:hAnsi="Times New Roman"/>
          <w:sz w:val="18"/>
          <w:szCs w:val="18"/>
          <w:color w:val="auto"/>
        </w:rPr>
        <w:t>.” Public Information Failure Payments shall be paid on the earlier of (i) the last day of the</w:t>
      </w:r>
    </w:p>
    <w:p>
      <w:pPr>
        <w:spacing w:after="0" w:line="2" w:lineRule="exact"/>
        <w:rPr>
          <w:sz w:val="20"/>
          <w:szCs w:val="20"/>
          <w:color w:val="auto"/>
        </w:rPr>
      </w:pPr>
    </w:p>
    <w:p>
      <w:pPr>
        <w:ind w:left="660" w:right="20"/>
        <w:spacing w:after="0" w:line="234" w:lineRule="auto"/>
        <w:rPr>
          <w:sz w:val="20"/>
          <w:szCs w:val="20"/>
          <w:color w:val="auto"/>
        </w:rPr>
      </w:pPr>
      <w:r>
        <w:rPr>
          <w:rFonts w:ascii="Times New Roman" w:cs="Times New Roman" w:eastAsia="Times New Roman" w:hAnsi="Times New Roman"/>
          <w:sz w:val="18"/>
          <w:szCs w:val="18"/>
          <w:color w:val="auto"/>
        </w:rPr>
        <w:t>calendar month during which such Public Information Failure Payments are incurred and (ii) the third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Business Day after the event or failure giving rise to the Public Information Failure Payments is cured. In the event the Company fails to make Public Information Failure Payments in a timely manner, such Public Information Failure Payments shall bear interest at the rate of 1.5% per month (prorated for partial months) until paid in full. Nothing herein shall limit such Purchaser’s right to pursue actual damages for the Public Information Failure, and such Purchaser shall have the right to pursue all remedies available to it at law or in equity including, without limitation, a decree of specific performance and/or injunctive relief.</w:t>
      </w:r>
    </w:p>
    <w:p>
      <w:pPr>
        <w:spacing w:after="0" w:line="20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The Company shall not sell, offer for sale or solicit offers to buy or otherwise negotiate in respect of any security (as defined in Section 2 of the Securities Act) that would be integrated with the offer or sale of the Securities in a manner that would require the registration under the Securities Act of the sale of the Securities or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89" w:name="page90"/>
    <w:bookmarkEnd w:id="89"/>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Securities Laws Disclosure; Publicity</w:t>
      </w:r>
      <w:r>
        <w:rPr>
          <w:rFonts w:ascii="Times New Roman" w:cs="Times New Roman" w:eastAsia="Times New Roman" w:hAnsi="Times New Roman"/>
          <w:sz w:val="18"/>
          <w:szCs w:val="18"/>
          <w:color w:val="auto"/>
        </w:rPr>
        <w:t>. The Company shall (a) by the Disclosure Time,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or agents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agents, employees or Affiliates on the one hand, and any of the Purchasers or any of their Affiliates on the other hand, shall terminate and be of no further force or effect. The Company understands and confirms that each Purchaser shall be relying on the foregoing covenant in effecting transactions in securities of the Company.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(i) any registration statement contemplated by the Registration Rights Agreement and (ii) the filing of final Transaction Documents with the Commission and (b) to the extent such disclosure is required by law or Trading Market regulations, in which case the Company shall provide the Purchasers with prior notice of such disclosure permitted under this clause (b) and reasonably cooperate with such Purchaser regarding such disclosure.</w:t>
      </w:r>
    </w:p>
    <w:p>
      <w:pPr>
        <w:spacing w:after="0" w:line="191"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Shareholder Rights Plan</w:t>
      </w:r>
      <w:r>
        <w:rPr>
          <w:rFonts w:ascii="Times New Roman" w:cs="Times New Roman" w:eastAsia="Times New Roman" w:hAnsi="Times New Roman"/>
          <w:sz w:val="18"/>
          <w:szCs w:val="18"/>
          <w:color w:val="auto"/>
        </w:rPr>
        <w:t>. No claim will be made or enforced by the Company or, with the consent of the Company, any other Person, that any Purchaser is an “</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spacing w:after="0" w:line="183"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Non-Public Information</w:t>
      </w:r>
      <w:r>
        <w:rPr>
          <w:rFonts w:ascii="Times New Roman" w:cs="Times New Roman" w:eastAsia="Times New Roman" w:hAnsi="Times New Roman"/>
          <w:sz w:val="18"/>
          <w:szCs w:val="18"/>
          <w:color w:val="auto"/>
        </w:rPr>
        <w:t>.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in writing to the receipt of such information and agreed in writing with the Company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directors, agents, employees or Affiliates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agents, employees or Affiliates, or a duty to the Company, any of its Subsidiaries or any of their respective officers, directors, agents, employees or Affiliates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with the delivery of such notice file such notice with the Commission pursuant to a Current Report on Form 8-K. The Company understands and confirms that each Purchaser shall be relying on the foregoing covenant in effecting transactions in securities of the Company.</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0" w:name="page91"/>
    <w:bookmarkEnd w:id="90"/>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shall use the net proceeds from the sale of the Securities hereunder for working capital purposes and shall not use such proceeds: (a) for the satisfaction of any portion of the Company’s debt (other than payment of trade payables in the ordinary course of the Company’s business and prior practices), (b) for the redemption of any Common Stock or Common Stock Equivalents, (c) for the settlement of any outstanding litigation or (d) in violation of FCPA or OFAC regulations.</w:t>
      </w:r>
    </w:p>
    <w:p>
      <w:pPr>
        <w:spacing w:after="0" w:line="180"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Indemnification of Purchasers.</w:t>
      </w:r>
      <w:r>
        <w:rPr>
          <w:rFonts w:ascii="Times New Roman" w:cs="Times New Roman" w:eastAsia="Times New Roman" w:hAnsi="Times New Roman"/>
          <w:sz w:val="18"/>
          <w:szCs w:val="18"/>
          <w:color w:val="auto"/>
        </w:rPr>
        <w:t xml:space="preserve"> Subject to the provisions of this Section 4.8,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“Purchaser Party”)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or (c) in connection with any registration statement of the Company providing for the resale by the Purchasers of the Shares and the Warrant Shares issued and issuable upon exercise of the Warrants, the Company will indemnify each Purchaser Party, to the fullest extent permitted by applicable law, from and against any and all losses, claims, damages, liabilities, costs (including, without limitation, reasonable attorneys’ fees) and expenses, as incurred, arising out of or relating to (i) any untrue or alleged untrue statement of a material fact contained in such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the light of the circumstances under which they were made) not misleading, except to the extent, but only to the extent, that such untrue statements or omissions are based solely upon information regarding such Purchaser Party furnished in writing to the Company by such Purchaser Party expressly for use therein, or (ii) any violation or alleged violation by the Company of the Securities Act, the Exchange Act or any state securities law, or any rule or regulation thereunder in connection therewith.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(x) the employment thereof has been specifically authorized by the Company in writing, (y) the Company has failed after a reasonable period of time to assume such defense and to employ counsel or (z)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(1) for any settlement by a Purchaser Party effected without the Company’s prior written consent, which shall not be unreasonably withheld or delayed; or (2)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Section 4.8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1" w:name="page92"/>
    <w:bookmarkEnd w:id="9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Reservation of Common Stock</w:t>
      </w:r>
      <w:r>
        <w:rPr>
          <w:rFonts w:ascii="Times New Roman" w:cs="Times New Roman" w:eastAsia="Times New Roman" w:hAnsi="Times New Roman"/>
          <w:sz w:val="18"/>
          <w:szCs w:val="18"/>
          <w:color w:val="auto"/>
        </w:rPr>
        <w:t>. As of the date hereof, the Company has reserved and the Company shall continue to reserve and keep available at all times, free of preemptive rights, a sufficient number of shares of Common Stock for the purpose of enabling the Company to issue Shares pursuant to this Agreement and Warrant Shares pursuant to any exercise of the Warrants.</w:t>
      </w:r>
    </w:p>
    <w:p>
      <w:pPr>
        <w:spacing w:after="0" w:line="176"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Listing of Common Stock</w:t>
      </w:r>
      <w:r>
        <w:rPr>
          <w:rFonts w:ascii="Times New Roman" w:cs="Times New Roman" w:eastAsia="Times New Roman" w:hAnsi="Times New Roman"/>
          <w:sz w:val="18"/>
          <w:szCs w:val="18"/>
          <w:color w:val="auto"/>
        </w:rPr>
        <w:t>. The Company hereby agrees to use best efforts to maintain the listing or quotation of the Common Stock on the Trading Market on which it is currently listed, and concurrently with the Closing, the Company shall apply to list or quote all of the Shares and Warrant Shares on such Trading Market and promptly secure the listing of all of the Shares and Warrant Shares on such Trading Market. The Company further agrees, if the Company applies to have the Common Stock traded on any other Trading Market, it will then include in such application all of the Shares and Warrant Shares, and will take such other action as is necessary to cause all of the Shares and Warrant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4.11 [RESERVED]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Subsequent Equity Sales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right="40" w:firstLine="320"/>
        <w:spacing w:after="0" w:line="261" w:lineRule="auto"/>
        <w:tabs>
          <w:tab w:leader="none" w:pos="1229"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ninety (90) days following the Effective Date, neither the Company nor any Subsidiary shall (i) issue, enter into any agreement to issue or announce the issuance or proposed issuance of any shares of Common Stock or Common Stock Equivalents or (ii) file any registration statement or any amendment or supplement thereto, in each case other than as contemplated pursuant to the Registration Rights Agreement or filing a registration statement on Form S-8 in connection with any employee compensation plan.</w:t>
      </w:r>
    </w:p>
    <w:p>
      <w:pPr>
        <w:spacing w:after="0" w:line="179" w:lineRule="exact"/>
        <w:rPr>
          <w:rFonts w:ascii="Times New Roman" w:cs="Times New Roman" w:eastAsia="Times New Roman" w:hAnsi="Times New Roman"/>
          <w:sz w:val="18"/>
          <w:szCs w:val="18"/>
          <w:color w:val="auto"/>
        </w:rPr>
      </w:pPr>
    </w:p>
    <w:p>
      <w:pPr>
        <w:ind w:left="660" w:right="60" w:firstLine="320"/>
        <w:spacing w:after="0" w:line="252" w:lineRule="auto"/>
        <w:tabs>
          <w:tab w:leader="none" w:pos="1239"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the one (1) year anniversary of the Effective Date, the Company shall be prohibited from effecting or entering into an agreement to effect any issuance by the Company or any of its Subsidiaries of Common Stock or Common Stock Equivalents (or a combination of units thereof) involving a Variable Rate Transaction. “</w:t>
      </w:r>
      <w:r>
        <w:rPr>
          <w:rFonts w:ascii="Times New Roman" w:cs="Times New Roman" w:eastAsia="Times New Roman" w:hAnsi="Times New Roman"/>
          <w:sz w:val="18"/>
          <w:szCs w:val="18"/>
          <w:u w:val="single" w:color="auto"/>
          <w:color w:val="auto"/>
        </w:rPr>
        <w:t>Variable Rate Transaction</w:t>
      </w:r>
      <w:r>
        <w:rPr>
          <w:rFonts w:ascii="Times New Roman" w:cs="Times New Roman" w:eastAsia="Times New Roman" w:hAnsi="Times New Roman"/>
          <w:sz w:val="18"/>
          <w:szCs w:val="18"/>
          <w:color w:val="auto"/>
        </w:rPr>
        <w:t xml:space="preserve">” means a transaction in which the Company (i) 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(ii) enters into, or effects a transaction under, any agreement, including, but not limited to, an equity line of credit or an “at-the-market” facility, whereby the Company may issue securities at a future determined price, regardless of whether shares pursuant to such agreement have actually been issued and regardless of whether such agreement is subsequently canceled;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following the period set forth in Section 4.12(a), the entry into and/or issuance of shares of Common Stock in an “at-the-market” facility with the Placement Agent as sales agent shall not be deemed a Variable Rate Transaction. Any Purchaser shall be entitled to obtain injunctive relief against the Company to preclude any such issuance, which remedy shall be in addition to any right to collect damages.</w:t>
      </w:r>
    </w:p>
    <w:p>
      <w:pPr>
        <w:spacing w:after="0" w:line="197" w:lineRule="exact"/>
        <w:rPr>
          <w:rFonts w:ascii="Times New Roman" w:cs="Times New Roman" w:eastAsia="Times New Roman" w:hAnsi="Times New Roman"/>
          <w:sz w:val="18"/>
          <w:szCs w:val="18"/>
          <w:color w:val="auto"/>
        </w:rPr>
      </w:pPr>
    </w:p>
    <w:p>
      <w:pPr>
        <w:ind w:left="660" w:right="880" w:firstLine="320"/>
        <w:spacing w:after="0" w:line="282" w:lineRule="auto"/>
        <w:tabs>
          <w:tab w:leader="none" w:pos="1229"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this Section 4.12 shall not apply in respect of an Exempt Issuance, except that no Variable Rate Transaction shall be an Exempt Issuance.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2" w:name="page93"/>
    <w:bookmarkEnd w:id="92"/>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Equal Treatment of Purchasers</w:t>
      </w:r>
      <w:r>
        <w:rPr>
          <w:rFonts w:ascii="Times New Roman" w:cs="Times New Roman" w:eastAsia="Times New Roman" w:hAnsi="Times New Roman"/>
          <w:sz w:val="18"/>
          <w:szCs w:val="18"/>
          <w:color w:val="auto"/>
        </w:rPr>
        <w:t>. No consideration (including any modification of this Agreement) shall be offered or paid to any Person to amend or consent to a waiver or modification of any provision of this Agreement unless the same consideration is also offered to all of the parties to this Agreement.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the Securities or otherwise.</w:t>
      </w:r>
    </w:p>
    <w:p>
      <w:pPr>
        <w:spacing w:after="0" w:line="18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(other than as disclosed to its legal and other representatives).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any of its Subsidiaries, or any of their respective officers, directors, employees, Affiliates or agent, including , without limitation, the Placement Agent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spacing w:after="0" w:line="192"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4.15 </w:t>
      </w:r>
      <w:r>
        <w:rPr>
          <w:rFonts w:ascii="Times New Roman" w:cs="Times New Roman" w:eastAsia="Times New Roman" w:hAnsi="Times New Roman"/>
          <w:sz w:val="18"/>
          <w:szCs w:val="18"/>
          <w:u w:val="single" w:color="auto"/>
          <w:color w:val="auto"/>
        </w:rPr>
        <w:t>Exercise Procedures</w:t>
      </w:r>
      <w:r>
        <w:rPr>
          <w:rFonts w:ascii="Times New Roman" w:cs="Times New Roman" w:eastAsia="Times New Roman" w:hAnsi="Times New Roman"/>
          <w:sz w:val="18"/>
          <w:szCs w:val="18"/>
          <w:color w:val="auto"/>
        </w:rPr>
        <w:t>. The form of Notice of Exercise included in the Warrants set forth the totality of the procedures required of the Purchasers in order to exercise the Warrants. No additional legal opinion, other information or instructions shall be required of the Purchasers to exercise their Warrants. Without limiting the preceding sentences, no ink-original Notice of Exercise shall be required, nor shall any medallion guarantee (or other type of guarantee or notarization) of any Notice of Exercise form be required in order to exercise the Warrants. The Company shall honor exercises of the Warrants and shall deliver Warrant Shares in accordance with the terms, conditions and time periods set forth in the Transaction Documents.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3" w:name="page94"/>
    <w:bookmarkEnd w:id="93"/>
    <w:p>
      <w:pPr>
        <w:jc w:val="both"/>
        <w:ind w:right="180" w:firstLine="648"/>
        <w:spacing w:after="0" w:line="289" w:lineRule="auto"/>
        <w:rPr>
          <w:sz w:val="20"/>
          <w:szCs w:val="20"/>
          <w:color w:val="auto"/>
        </w:rPr>
      </w:pPr>
      <w:r>
        <w:rPr>
          <w:rFonts w:ascii="Times New Roman" w:cs="Times New Roman" w:eastAsia="Times New Roman" w:hAnsi="Times New Roman"/>
          <w:sz w:val="17"/>
          <w:szCs w:val="17"/>
          <w:color w:val="auto"/>
        </w:rPr>
        <w:t xml:space="preserve">4.16 </w:t>
      </w:r>
      <w:r>
        <w:rPr>
          <w:rFonts w:ascii="Times New Roman" w:cs="Times New Roman" w:eastAsia="Times New Roman" w:hAnsi="Times New Roman"/>
          <w:sz w:val="17"/>
          <w:szCs w:val="17"/>
          <w:u w:val="single" w:color="auto"/>
          <w:color w:val="auto"/>
        </w:rPr>
        <w:t>Capital Changes</w:t>
      </w:r>
      <w:r>
        <w:rPr>
          <w:rFonts w:ascii="Times New Roman" w:cs="Times New Roman" w:eastAsia="Times New Roman" w:hAnsi="Times New Roman"/>
          <w:sz w:val="17"/>
          <w:szCs w:val="17"/>
          <w:color w:val="auto"/>
        </w:rPr>
        <w:t>. Until the one year anniversary of the Effective Date, the Company shall not undertake a reverse or forward stock split or reclassification of the Common Stock without the prior written consent of the Purchasers holding a majority in interest of the Shares, other than a reverse stock split that is required, in the good faith determination of the Board of Directors, to maintain the listing of the Common Stock on the Trading Market.</w:t>
      </w:r>
    </w:p>
    <w:p>
      <w:pPr>
        <w:spacing w:after="0" w:line="15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4.17 </w:t>
      </w:r>
      <w:r>
        <w:rPr>
          <w:rFonts w:ascii="Times New Roman" w:cs="Times New Roman" w:eastAsia="Times New Roman" w:hAnsi="Times New Roman"/>
          <w:sz w:val="18"/>
          <w:szCs w:val="18"/>
          <w:u w:val="single" w:color="auto"/>
          <w:color w:val="auto"/>
        </w:rPr>
        <w:t>Form D; Blue Sky Filings</w:t>
      </w:r>
      <w:r>
        <w:rPr>
          <w:rFonts w:ascii="Times New Roman" w:cs="Times New Roman" w:eastAsia="Times New Roman" w:hAnsi="Times New Roman"/>
          <w:sz w:val="18"/>
          <w:szCs w:val="18"/>
          <w:color w:val="auto"/>
        </w:rPr>
        <w:t>. If required, the Company agrees to timely file a Form D with respect to the Securities as required under Regulation D and to provide a copy thereof, promptly upon request of any Purchaser. The Company shall take such action as the Company shall reasonably determine is necessary in order to obtain an exemption for, or to qualify the Securities for, sale to the Purchasers at the Closing under applicable securities or “Blue Sky” laws of the states of the United States, and shall provide evidence of such actions promptly upon request of any Purchaser.</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4.18 </w:t>
      </w:r>
      <w:r>
        <w:rPr>
          <w:rFonts w:ascii="Times New Roman" w:cs="Times New Roman" w:eastAsia="Times New Roman" w:hAnsi="Times New Roman"/>
          <w:sz w:val="18"/>
          <w:szCs w:val="18"/>
          <w:u w:val="single" w:color="auto"/>
          <w:color w:val="auto"/>
        </w:rPr>
        <w:t>Acknowledgment of Dilution</w:t>
      </w:r>
      <w:r>
        <w:rPr>
          <w:rFonts w:ascii="Times New Roman" w:cs="Times New Roman" w:eastAsia="Times New Roman" w:hAnsi="Times New Roman"/>
          <w:sz w:val="18"/>
          <w:szCs w:val="18"/>
          <w:color w:val="auto"/>
        </w:rPr>
        <w:t>. The Company acknowledges that the issuance of the Securities may result in dilution of the outstanding shares of Common Stock, which dilution may be substantial under certain market conditions. The Company further acknowledges that its obligations under the Transaction Documents, including, without limitation, its obligation to issue the Shares and Warrant Shares pursuant to the Transaction Documents, are unconditional and absolute and not subject to any right of set off, counterclaim, delay or reduction, regardless of the effect of any such dilution or any claim the Company may have against any Purchaser and regardless of the dilutive effect that such issuance may have on the ownership of the other stockholders of the Company.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by any Purchaser, as to such Purchaser’s obligations hereunder only and without any effect whatsoever on the obligations between the Company and the other Purchasers, by written notice to the other parties, if the Closing has not been</w:t>
      </w:r>
    </w:p>
    <w:p>
      <w:pPr>
        <w:ind w:right="280"/>
        <w:spacing w:after="0" w:line="209" w:lineRule="auto"/>
        <w:rPr>
          <w:sz w:val="20"/>
          <w:szCs w:val="20"/>
          <w:color w:val="auto"/>
        </w:rPr>
      </w:pPr>
      <w:r>
        <w:rPr>
          <w:rFonts w:ascii="Times New Roman" w:cs="Times New Roman" w:eastAsia="Times New Roman" w:hAnsi="Times New Roman"/>
          <w:sz w:val="18"/>
          <w:szCs w:val="18"/>
          <w:color w:val="auto"/>
        </w:rPr>
        <w:t>consummated on or before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Trading Day following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termination will affect the right of any party to sue for any breach by any other party (or parties).</w:t>
      </w:r>
    </w:p>
    <w:p>
      <w:pPr>
        <w:spacing w:after="0" w:line="20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Securities to the Purchasers.</w:t>
      </w:r>
    </w:p>
    <w:p>
      <w:pPr>
        <w:spacing w:after="0" w:line="18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Transaction Documents, together with the exhibits and schedules thereto,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94" w:name="page95"/>
    <w:bookmarkEnd w:id="94"/>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email attachment at the email address as set forth on the signature pages attached hereto at or prior to 5:30 p.m. (New York City time) on a Trading Day, (b) the next Trading Day after the time of transmission, if such notice or communication is delivered via email attachment at the email address as set forth on the signature pages</w:t>
      </w:r>
    </w:p>
    <w:p>
      <w:pPr>
        <w:spacing w:after="0" w:line="3" w:lineRule="exact"/>
        <w:rPr>
          <w:sz w:val="20"/>
          <w:szCs w:val="20"/>
          <w:color w:val="auto"/>
        </w:rPr>
      </w:pPr>
    </w:p>
    <w:p>
      <w:pPr>
        <w:ind w:right="100"/>
        <w:spacing w:after="0" w:line="231" w:lineRule="auto"/>
        <w:rPr>
          <w:sz w:val="20"/>
          <w:szCs w:val="20"/>
          <w:color w:val="auto"/>
        </w:rPr>
      </w:pPr>
      <w:r>
        <w:rPr>
          <w:rFonts w:ascii="Times New Roman" w:cs="Times New Roman" w:eastAsia="Times New Roman" w:hAnsi="Times New Roman"/>
          <w:sz w:val="18"/>
          <w:szCs w:val="18"/>
          <w:color w:val="auto"/>
        </w:rPr>
        <w:t>attached hereto on a day that is not a Trading Day or later than 5:30 p.m. (New York City time) on any Trading Day, (c)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 To the extent that any notice provided pursuant to any Transaction Document constitutes, or contains, material, non-public information regarding the Company or any Subsidiaries, the Company shall simultaneously file such notice with the Commission pursuant to a Current Report on Form 8-K.</w:t>
      </w:r>
    </w:p>
    <w:p>
      <w:pPr>
        <w:spacing w:after="0" w:line="20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No provision of this Agreement may be waived, modified, supplemented or amended except in a written instrument signed, in the case of an amendment, by the Company and Purchasers which purchased at least 50.1% in interest of the Shares and the Pre-Funded Warrants based on the initial Subscription Amounts hereunder (or, prior to the Closing, the Company and each Purchaser) or, in the case of a waiver, by the party against whom enforcement of any such waived provision is sought, provided that if any amendment, modification or waiver disproportionately and adversely impacts a Purchaser (or group of Purchasers), the consent of at least 50.1% in interest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Securities and the Company.</w:t>
      </w:r>
    </w:p>
    <w:p>
      <w:pPr>
        <w:spacing w:after="0" w:line="192"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Agreement and shall not be deemed to limit or affect any of the provisions hereof.</w:t>
      </w:r>
    </w:p>
    <w:p>
      <w:pPr>
        <w:spacing w:after="0" w:line="16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5" w:name="page96"/>
    <w:bookmarkEnd w:id="95"/>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The Placement Agent shall be the third party beneficiary of the representations and warranties of the Company in Section 3.1, the covenants of the Company in Article 4 and the representations and warranties of the Purchasers in Section 3.2. 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spacing w:after="0" w:line="180"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and warranties contained herein shall survive the Closing and the delivery of the Securities.</w:t>
      </w:r>
    </w:p>
    <w:p>
      <w:pPr>
        <w:spacing w:after="0" w:line="225"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Execution</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(including any electronic signature covered by the U.S. federal ESIGN Act of 2000, Uniform Electronic Transactions Act, the Electronic Signatures and Records Act or other applicable law, e.g., www.docusign.com) or other transmission method, such signature shall be deemed to have been duly and validly delivered and shall create a valid and binding obligation of the party executing (or on whose behalf such signature is executed) with the same force and effect as if such “.pdf” signature page were an original thereof.</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6" w:name="page97"/>
    <w:bookmarkEnd w:id="96"/>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Rescission and Withdrawal Right</w:t>
      </w:r>
      <w:r>
        <w:rPr>
          <w:rFonts w:ascii="Times New Roman" w:cs="Times New Roman" w:eastAsia="Times New Roman" w:hAnsi="Times New Roman"/>
          <w:sz w:val="18"/>
          <w:szCs w:val="18"/>
          <w:color w:val="auto"/>
        </w:rPr>
        <w:t xml:space="preserve">.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case of a rescission of an exercise of a Warrant, the applicable Purchaser shall be required to return any shares of Common Stock subject to any such rescinded exercise notice concurrently with the return to such Purchaser of the aggregate exercise price paid to the Company for such shares and the restoration of such Purchaser’s right to acquire such shares pursuant to such Purchaser’s Warrant (including, issuance of a replacement warrant certificate evidencing such restored right).</w:t>
      </w:r>
    </w:p>
    <w:p>
      <w:pPr>
        <w:spacing w:after="0" w:line="19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Replacement of Securities</w:t>
      </w:r>
      <w:r>
        <w:rPr>
          <w:rFonts w:ascii="Times New Roman" w:cs="Times New Roman" w:eastAsia="Times New Roman" w:hAnsi="Times New Roman"/>
          <w:sz w:val="18"/>
          <w:szCs w:val="18"/>
          <w:color w:val="auto"/>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spacing w:after="0" w:line="183"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Payment Set Aside</w:t>
      </w:r>
      <w:r>
        <w:rPr>
          <w:rFonts w:ascii="Times New Roman" w:cs="Times New Roman" w:eastAsia="Times New Roman" w:hAnsi="Times New Roman"/>
          <w:sz w:val="18"/>
          <w:szCs w:val="18"/>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7" w:name="page98"/>
    <w:bookmarkEnd w:id="97"/>
    <w:p>
      <w:pPr>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Independent Nature of Purchasers’ Obligations and Rights</w:t>
      </w:r>
      <w:r>
        <w:rPr>
          <w:rFonts w:ascii="Times New Roman" w:cs="Times New Roman" w:eastAsia="Times New Roman" w:hAnsi="Times New Roman"/>
          <w:sz w:val="18"/>
          <w:szCs w:val="18"/>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the legal counsel of the Placement Agent. The legal counsel of the Placement Agent does not represent any of the Purchasers and only represents the Placement Agent.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19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Liquidated Damages</w:t>
      </w:r>
      <w:r>
        <w:rPr>
          <w:rFonts w:ascii="Times New Roman" w:cs="Times New Roman" w:eastAsia="Times New Roman" w:hAnsi="Times New Roman"/>
          <w:sz w:val="18"/>
          <w:szCs w:val="18"/>
          <w:color w:val="auto"/>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spacing w:after="0" w:line="180"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2"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5.21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IN ANY ACTION, SUIT, OR PROCEEDING IN ANY JURISDICTION BROUGHT BY ANY PARTY</w:t>
      </w:r>
    </w:p>
    <w:p>
      <w:pPr>
        <w:spacing w:after="0" w:line="31" w:lineRule="exact"/>
        <w:rPr>
          <w:sz w:val="20"/>
          <w:szCs w:val="20"/>
          <w:color w:val="auto"/>
        </w:rPr>
      </w:pPr>
    </w:p>
    <w:p>
      <w:pPr>
        <w:ind w:right="560"/>
        <w:spacing w:after="0" w:line="255" w:lineRule="auto"/>
        <w:rPr>
          <w:sz w:val="20"/>
          <w:szCs w:val="20"/>
          <w:color w:val="auto"/>
        </w:rPr>
      </w:pPr>
      <w:r>
        <w:rPr>
          <w:rFonts w:ascii="Times New Roman" w:cs="Times New Roman" w:eastAsia="Times New Roman" w:hAnsi="Times New Roman"/>
          <w:sz w:val="18"/>
          <w:szCs w:val="18"/>
          <w:b w:val="1"/>
          <w:bCs w:val="1"/>
          <w:u w:val="single" w:color="auto"/>
          <w:color w:val="auto"/>
        </w:rPr>
        <w:t>AGAINST ANY OTHER PARTY, THE PARTIES EACH KNOWINGLY AND INTENTIONALLY, TO THE GREATEST EXTENT PERMITTED BY APPLICABLE LAW, HEREBY ABSOLUTELY, UNCONDITIONALLY, IRREVOCABLY AND EXPRESSLY WAIVES FOREVER TRIAL BY JURY.</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8" w:name="page99"/>
    <w:bookmarkEnd w:id="98"/>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Securities Purchase Agreement to be duly executed by their respective authorized signatories as of the date first indicated above.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BLUEJAY DIAGNOSTICS, INC.</w:t>
            </w:r>
          </w:p>
        </w:tc>
        <w:tc>
          <w:tcPr>
            <w:tcW w:w="1120" w:type="dxa"/>
            <w:vAlign w:val="bottom"/>
          </w:tcPr>
          <w:p>
            <w:pPr>
              <w:spacing w:after="0"/>
              <w:rPr>
                <w:sz w:val="17"/>
                <w:szCs w:val="17"/>
                <w:color w:val="auto"/>
              </w:rPr>
            </w:pPr>
          </w:p>
        </w:tc>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Address for Notice:</w:t>
            </w:r>
          </w:p>
        </w:tc>
        <w:tc>
          <w:tcPr>
            <w:tcW w:w="0" w:type="dxa"/>
            <w:vAlign w:val="bottom"/>
          </w:tcPr>
          <w:p>
            <w:pPr>
              <w:spacing w:after="0"/>
              <w:rPr>
                <w:sz w:val="1"/>
                <w:szCs w:val="1"/>
                <w:color w:val="auto"/>
              </w:rPr>
            </w:pPr>
          </w:p>
        </w:tc>
      </w:tr>
      <w:tr>
        <w:trPr>
          <w:trHeight w:val="460"/>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1120" w:type="dxa"/>
            <w:vAlign w:val="bottom"/>
          </w:tcPr>
          <w:p>
            <w:pPr>
              <w:spacing w:after="0"/>
              <w:rPr>
                <w:sz w:val="24"/>
                <w:szCs w:val="24"/>
                <w:color w:val="auto"/>
              </w:rPr>
            </w:pPr>
          </w:p>
        </w:tc>
        <w:tc>
          <w:tcPr>
            <w:tcW w:w="1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E-Mail:</w:t>
            </w:r>
          </w:p>
        </w:tc>
        <w:tc>
          <w:tcPr>
            <w:tcW w:w="0" w:type="dxa"/>
            <w:vAlign w:val="bottom"/>
          </w:tcPr>
          <w:p>
            <w:pPr>
              <w:spacing w:after="0"/>
              <w:rPr>
                <w:sz w:val="1"/>
                <w:szCs w:val="1"/>
                <w:color w:val="auto"/>
              </w:rPr>
            </w:pPr>
          </w:p>
        </w:tc>
      </w:tr>
      <w:tr>
        <w:trPr>
          <w:trHeight w:val="198"/>
        </w:trPr>
        <w:tc>
          <w:tcPr>
            <w:tcW w:w="460" w:type="dxa"/>
            <w:vAlign w:val="bottom"/>
          </w:tcPr>
          <w:p>
            <w:pPr>
              <w:spacing w:after="0"/>
              <w:rPr>
                <w:sz w:val="17"/>
                <w:szCs w:val="17"/>
                <w:color w:val="auto"/>
              </w:rPr>
            </w:pPr>
          </w:p>
        </w:tc>
        <w:tc>
          <w:tcPr>
            <w:tcW w:w="404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112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tc>
        <w:tc>
          <w:tcPr>
            <w:tcW w:w="1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SIGNATURE PAGE FOR PURCHASER FOLLOWS]</w:t>
      </w:r>
    </w:p>
    <w:p>
      <w:pPr>
        <w:spacing w:after="0" w:line="200" w:lineRule="exact"/>
        <w:rPr>
          <w:sz w:val="20"/>
          <w:szCs w:val="20"/>
          <w:color w:val="auto"/>
        </w:rPr>
      </w:pPr>
    </w:p>
    <w:p>
      <w:pPr>
        <w:spacing w:after="0" w:line="22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337" w:right="539" w:bottom="1440" w:gutter="0" w:footer="0" w:header="0"/>
        </w:sectPr>
      </w:pPr>
    </w:p>
    <w:bookmarkStart w:id="99" w:name="page100"/>
    <w:bookmarkEnd w:id="99"/>
    <w:p>
      <w:pPr>
        <w:ind w:left="2220"/>
        <w:spacing w:after="0"/>
        <w:rPr>
          <w:sz w:val="20"/>
          <w:szCs w:val="20"/>
          <w:color w:val="auto"/>
        </w:rPr>
      </w:pPr>
      <w:r>
        <w:rPr>
          <w:rFonts w:ascii="Times New Roman" w:cs="Times New Roman" w:eastAsia="Times New Roman" w:hAnsi="Times New Roman"/>
          <w:sz w:val="18"/>
          <w:szCs w:val="18"/>
          <w:color w:val="auto"/>
        </w:rPr>
        <w:t>[PURCHASER SIGNATURE PAGES TO BJDX SECURITIES PURCHASE AGREEMENT]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have caused this Securities Purchase Agreement to be duly executed by their respective authorized signatories as of the date first indicated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 ________________________________________________________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Purchaser</w:t>
      </w:r>
      <w:r>
        <w:rPr>
          <w:rFonts w:ascii="Times New Roman" w:cs="Times New Roman" w:eastAsia="Times New Roman" w:hAnsi="Times New Roman"/>
          <w:sz w:val="18"/>
          <w:szCs w:val="18"/>
          <w:color w:val="auto"/>
        </w:rPr>
        <w:t>: 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of Authorized Signatory:_________________________________________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 to Purchaser: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Delivery of Securities to Purchaser (if not same as address for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Amount: $_________________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_________________</w:t>
      </w:r>
    </w:p>
    <w:p>
      <w:pPr>
        <w:spacing w:after="0" w:line="18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Pre-Funded Warrants: _______________ Beneficial Ownership Blocker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4.99% 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9.99%</w:t>
      </w:r>
    </w:p>
    <w:p>
      <w:pPr>
        <w:spacing w:after="0" w:line="22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Series G Common Warrants: _____________ Beneficial Ownership Blocker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4.99% 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9.99%</w:t>
      </w:r>
    </w:p>
    <w:p>
      <w:pPr>
        <w:spacing w:after="0" w:line="22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Series H Common Warrants: _____________ Beneficial Ownership Blocker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4.99% 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9.99%</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EIN Number: _______________________</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[SIGNATURE PAGES CONTINUE]</w:t>
      </w:r>
    </w:p>
    <w:p>
      <w:pPr>
        <w:spacing w:after="0" w:line="200" w:lineRule="exact"/>
        <w:rPr>
          <w:sz w:val="20"/>
          <w:szCs w:val="20"/>
          <w:color w:val="auto"/>
        </w:rPr>
      </w:pPr>
    </w:p>
    <w:p>
      <w:pPr>
        <w:spacing w:after="0" w:line="24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320" w:top="337" w:right="6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ind w:left="10300"/>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This Registration Rights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June 2, 2026, by and between Bluejay Diagnostics,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of the several purchasers signatory hereto (each such purchaser,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This Agreement is made pursuant to the Securities Purchase Agreement, dated as of the date hereof, between the Company and each Purchaser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and each Purchaser hereby agree as follows:</w:t>
      </w:r>
    </w:p>
    <w:p>
      <w:pPr>
        <w:spacing w:after="0" w:line="225" w:lineRule="exact"/>
        <w:rPr>
          <w:sz w:val="20"/>
          <w:szCs w:val="20"/>
          <w:color w:val="auto"/>
        </w:rPr>
      </w:pPr>
    </w:p>
    <w:p>
      <w:pPr>
        <w:ind w:left="840" w:hanging="184"/>
        <w:spacing w:after="0"/>
        <w:tabs>
          <w:tab w:leader="none" w:pos="8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1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Capitalized terms used and not otherwise defined herein that are defined in the Purchase Agreement shall have the meanings given such terms in the Purchase Agreement. </w:t>
      </w:r>
      <w:r>
        <w:rPr>
          <w:rFonts w:ascii="Times New Roman" w:cs="Times New Roman" w:eastAsia="Times New Roman" w:hAnsi="Times New Roman"/>
          <w:sz w:val="18"/>
          <w:szCs w:val="18"/>
          <w:color w:val="auto"/>
        </w:rPr>
        <w:t>As used in this Agreement, the following terms shall have the following meanings:</w:t>
      </w:r>
    </w:p>
    <w:p>
      <w:pPr>
        <w:spacing w:after="0" w:line="15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Advice</w:t>
      </w:r>
      <w:r>
        <w:rPr>
          <w:rFonts w:ascii="Times New Roman" w:cs="Times New Roman" w:eastAsia="Times New Roman" w:hAnsi="Times New Roman"/>
          <w:sz w:val="18"/>
          <w:szCs w:val="18"/>
          <w:color w:val="auto"/>
        </w:rPr>
        <w:t>” shall have the meaning set forth in Section 6(d).</w:t>
      </w:r>
    </w:p>
    <w:p>
      <w:pPr>
        <w:spacing w:after="0" w:line="229" w:lineRule="exact"/>
        <w:rPr>
          <w:sz w:val="20"/>
          <w:szCs w:val="20"/>
          <w:color w:val="auto"/>
        </w:rPr>
      </w:pPr>
    </w:p>
    <w:p>
      <w:pPr>
        <w:ind w:left="660" w:right="140" w:firstLine="324"/>
        <w:spacing w:after="0" w:line="19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Effectiveness Date</w:t>
      </w:r>
      <w:r>
        <w:rPr>
          <w:rFonts w:ascii="Times New Roman" w:cs="Times New Roman" w:eastAsia="Times New Roman" w:hAnsi="Times New Roman"/>
          <w:sz w:val="17"/>
          <w:szCs w:val="17"/>
          <w:color w:val="auto"/>
        </w:rPr>
        <w:t>” means, with respect to the Initial Registration Statement required to be filed hereunder, the 45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calendar day following the date hereof (or, in the event of a “full review” by the Commission, the 75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calendar day following the date hereof) and with respect to any additional Registration Statements which may be required pursuant to Section 2(c) or Section 3(c), the 45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calendar day following the date on</w:t>
      </w:r>
    </w:p>
    <w:p>
      <w:pPr>
        <w:spacing w:after="0" w:line="1" w:lineRule="exact"/>
        <w:rPr>
          <w:sz w:val="20"/>
          <w:szCs w:val="20"/>
          <w:color w:val="auto"/>
        </w:rPr>
      </w:pPr>
    </w:p>
    <w:p>
      <w:pPr>
        <w:ind w:left="660" w:right="80"/>
        <w:spacing w:after="0" w:line="234" w:lineRule="auto"/>
        <w:rPr>
          <w:sz w:val="20"/>
          <w:szCs w:val="20"/>
          <w:color w:val="auto"/>
        </w:rPr>
      </w:pPr>
      <w:r>
        <w:rPr>
          <w:rFonts w:ascii="Times New Roman" w:cs="Times New Roman" w:eastAsia="Times New Roman" w:hAnsi="Times New Roman"/>
          <w:sz w:val="18"/>
          <w:szCs w:val="18"/>
          <w:color w:val="auto"/>
        </w:rPr>
        <w:t>which an additional Registration Statement is required to be filed hereunder (or, in the event of a “full review” by the Commission, the 75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calendar day following the date such additional Registration Statement is required to be filed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the Company is notified by the Commission that one or more of the above Registration Statements will not be reviewed or is no longer subject to further review and comments, the Effectiveness Date as to such Registration Statement shall be the fifth Trading Day following the date on which the Company is so notified if such date precedes the dates otherwise required above, provided, further, if such Effectiveness Date falls on a day that is not a Trading Day, then the Effectiveness Date shall be the next succeeding Trading Day.</w:t>
      </w:r>
    </w:p>
    <w:p>
      <w:pPr>
        <w:spacing w:after="0" w:line="1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Effectiveness Period</w:t>
      </w:r>
      <w:r>
        <w:rPr>
          <w:rFonts w:ascii="Times New Roman" w:cs="Times New Roman" w:eastAsia="Times New Roman" w:hAnsi="Times New Roman"/>
          <w:sz w:val="18"/>
          <w:szCs w:val="18"/>
          <w:color w:val="auto"/>
        </w:rPr>
        <w:t>” shall have the meaning set forth in Section 2(a).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w:t>
      </w:r>
      <w:r>
        <w:rPr>
          <w:rFonts w:ascii="Times New Roman" w:cs="Times New Roman" w:eastAsia="Times New Roman" w:hAnsi="Times New Roman"/>
          <w:sz w:val="18"/>
          <w:szCs w:val="18"/>
          <w:color w:val="auto"/>
        </w:rPr>
        <w:t>” shall have the meaning set forth in Section 2(d).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Date</w:t>
      </w:r>
      <w:r>
        <w:rPr>
          <w:rFonts w:ascii="Times New Roman" w:cs="Times New Roman" w:eastAsia="Times New Roman" w:hAnsi="Times New Roman"/>
          <w:sz w:val="18"/>
          <w:szCs w:val="18"/>
          <w:color w:val="auto"/>
        </w:rPr>
        <w:t>” shall have the meaning set forth in Section 2(d).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1" w:name="page102"/>
    <w:bookmarkEnd w:id="101"/>
    <w:p>
      <w:pPr>
        <w:ind w:right="60" w:firstLine="324"/>
        <w:spacing w:after="0" w:line="23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Filing Date</w:t>
      </w:r>
      <w:r>
        <w:rPr>
          <w:rFonts w:ascii="Times New Roman" w:cs="Times New Roman" w:eastAsia="Times New Roman" w:hAnsi="Times New Roman"/>
          <w:sz w:val="17"/>
          <w:szCs w:val="17"/>
          <w:color w:val="auto"/>
        </w:rPr>
        <w:t>” means, with respect to the Initial Registration Statement required hereunder, the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calendar day following the date hereof and, with respect to any additional Registration Statements which may be required pursuant to Section 2(c) or Section 3(c), the earliest practicable date on which the Company is permitted by SEC Guidance to file such additional Registration Statement related to the Registrable Securities.</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means the holder or holders, as the case may be, from time to time of Registrable Securities.</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shall have the meaning set forth in Section 5(c).</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shall have the meaning set forth in Section 5(c).</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Registration Statement</w:t>
      </w:r>
      <w:r>
        <w:rPr>
          <w:rFonts w:ascii="Times New Roman" w:cs="Times New Roman" w:eastAsia="Times New Roman" w:hAnsi="Times New Roman"/>
          <w:sz w:val="18"/>
          <w:szCs w:val="18"/>
          <w:color w:val="auto"/>
        </w:rPr>
        <w:t>” means the initial Registration Statement filed pursuant to this Agreement.</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shall have the meaning set forth in Section 5(a).</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of Distribution</w:t>
      </w:r>
      <w:r>
        <w:rPr>
          <w:rFonts w:ascii="Times New Roman" w:cs="Times New Roman" w:eastAsia="Times New Roman" w:hAnsi="Times New Roman"/>
          <w:sz w:val="18"/>
          <w:szCs w:val="18"/>
          <w:color w:val="auto"/>
        </w:rPr>
        <w:t>” shall have the meaning set forth in Section 2(a).</w:t>
      </w:r>
    </w:p>
    <w:p>
      <w:pPr>
        <w:spacing w:after="0" w:line="225" w:lineRule="exact"/>
        <w:rPr>
          <w:sz w:val="20"/>
          <w:szCs w:val="20"/>
          <w:color w:val="auto"/>
        </w:rPr>
      </w:pPr>
    </w:p>
    <w:p>
      <w:pPr>
        <w:ind w:right="220" w:firstLine="324"/>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prospectus included in a Registration Statement (including, without limitation, a prospectus that includes any information previously omitted from a prospectus filed as part of an effective registration statement in reliance upon Rule 430A promulgated by the Commission pursuant to the Securities Act), as amended or supplemented by any prospectus supplement, with respect to the terms of the offering of any portion of the Registrable Securities covered by a Registration Statement, and all other amendments and supplements to the Prospectus, including post-effective amendments, and all material incorporated by reference or deemed to be incorporated by reference in such Prospectus.</w:t>
      </w:r>
    </w:p>
    <w:p>
      <w:pPr>
        <w:spacing w:after="0" w:line="187"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xml:space="preserve">” means, as of any date of determination, (a) all Shares, (b) all Warrant Shares then issued and issuable upon exercise of the Warrants (assuming on such date the Warrants are exercised in full without regard to any exercise limitations therein), (c) any additional shares of Common Stock issued and issuable in connection with any anti-dilution provisions in the Warrants (without giving effect to any limitations on exercise set forth in the Warrants) and (d) any securities issued or then issuable upon any stock split, dividend or other distribution, recapitalization or similar event with respect to the foregoing;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any such Registrable Securities shall cease to be Registrable Securities (and the Company shall not be required to maintain the effectiveness of any, or file another, Registration Statement hereunder with respect thereto) for so long as (a) a Registration Statement with respect to the sale of such Registrable Securities is declared effective by the Commission under the Securities Act and such Registrable Securities have been disposed of by the Holder in accordance with such effective Registration Statement, (b) such Registrable Securities have been previously sold in accordance with Rule 144, or (c) such securities become eligible for resale without volume or manner-of-sale restrictions and without current public information pursuant to Rule 144 as set forth in a written opinion letter to such effect, addressed, delivered and acceptable to the Transfer Agent and the affected Holders (assuming that such securities and any securities issuable upon exercise, conversion or exchange of which, or as a dividend upon which, such securities were issued or are issuable, were at no time held by any Affiliate of the Company, as reasonably determined by the Company, upon the advice of counsel to the Company.</w:t>
      </w:r>
    </w:p>
    <w:p>
      <w:pPr>
        <w:spacing w:after="0" w:line="200" w:lineRule="exact"/>
        <w:rPr>
          <w:sz w:val="20"/>
          <w:szCs w:val="20"/>
          <w:color w:val="auto"/>
        </w:rPr>
      </w:pPr>
    </w:p>
    <w:p>
      <w:pPr>
        <w:spacing w:after="0" w:line="21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02" w:name="page103"/>
    <w:bookmarkEnd w:id="102"/>
    <w:p>
      <w:pPr>
        <w:ind w:left="4" w:right="40" w:firstLine="324"/>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any registration statement required to be filed hereunder pursuant to Section 2(a) and any additional registration statements contemplated by Section 2(c) or Section 3(c), including (in each case) the Prospectus, amendments and supplements to any such registration statement or Prospectus, including pre- and post-effective amendments, all exhibits thereto, and all material incorporated by reference or deemed to be incorporated by reference in any such registration statement.</w:t>
      </w:r>
    </w:p>
    <w:p>
      <w:pPr>
        <w:spacing w:after="0" w:line="180" w:lineRule="exact"/>
        <w:rPr>
          <w:sz w:val="20"/>
          <w:szCs w:val="20"/>
          <w:color w:val="auto"/>
        </w:rPr>
      </w:pPr>
    </w:p>
    <w:p>
      <w:pPr>
        <w:ind w:left="4" w:right="60" w:firstLine="32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415</w:t>
      </w:r>
      <w:r>
        <w:rPr>
          <w:rFonts w:ascii="Times New Roman" w:cs="Times New Roman" w:eastAsia="Times New Roman" w:hAnsi="Times New Roman"/>
          <w:sz w:val="18"/>
          <w:szCs w:val="18"/>
          <w:color w:val="auto"/>
        </w:rPr>
        <w:t>” means Rule 415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ind w:left="4" w:right="60" w:firstLine="324"/>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ind w:left="32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Selling Stockholder Questionnaire</w:t>
      </w:r>
      <w:r>
        <w:rPr>
          <w:rFonts w:ascii="Times New Roman" w:cs="Times New Roman" w:eastAsia="Times New Roman" w:hAnsi="Times New Roman"/>
          <w:sz w:val="18"/>
          <w:szCs w:val="18"/>
          <w:color w:val="auto"/>
        </w:rPr>
        <w:t>” shall have the meaning set forth in Section 3(a).</w:t>
      </w:r>
    </w:p>
    <w:p>
      <w:pPr>
        <w:spacing w:after="0" w:line="225" w:lineRule="exact"/>
        <w:rPr>
          <w:sz w:val="20"/>
          <w:szCs w:val="20"/>
          <w:color w:val="auto"/>
        </w:rPr>
      </w:pPr>
    </w:p>
    <w:p>
      <w:pPr>
        <w:ind w:left="4" w:right="560" w:firstLine="32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Guidance</w:t>
      </w:r>
      <w:r>
        <w:rPr>
          <w:rFonts w:ascii="Times New Roman" w:cs="Times New Roman" w:eastAsia="Times New Roman" w:hAnsi="Times New Roman"/>
          <w:sz w:val="18"/>
          <w:szCs w:val="18"/>
          <w:color w:val="auto"/>
        </w:rPr>
        <w:t>” means (i) any publicly-available written or oral guidance of the Commission staff, or any comments, requirements or requests of the Commission staff and (ii) the Securities Act.</w:t>
      </w:r>
    </w:p>
    <w:p>
      <w:pPr>
        <w:spacing w:after="0" w:line="162" w:lineRule="exact"/>
        <w:rPr>
          <w:sz w:val="20"/>
          <w:szCs w:val="20"/>
          <w:color w:val="auto"/>
        </w:rPr>
      </w:pPr>
    </w:p>
    <w:p>
      <w:pPr>
        <w:ind w:left="184" w:hanging="184"/>
        <w:spacing w:after="0"/>
        <w:tabs>
          <w:tab w:leader="none" w:pos="184"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Shelf Registration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firstLine="320"/>
        <w:spacing w:after="0" w:line="252" w:lineRule="auto"/>
        <w:tabs>
          <w:tab w:leader="none" w:pos="573"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each Filing Date, the Company shall prepare and file with the Commission a Registration Statement covering the resale of all of the Registrable Securities that are not then registered on an effective Registration Statement for an offering to be made on a continuous basis pursuant to Rule 415. Each Registration Statement filed hereunder shall be on Form S-3 (except if the Company is not then eligible to register for resale the Registrable Securities on Form S-3, in which case such registration shall be on another appropriate form in accordance herewith, subject to the provisions of Section 2(e)) and shall contain (unless otherwise directed by at least 85% in interest of the Holders) substantially the “</w:t>
      </w:r>
      <w:r>
        <w:rPr>
          <w:rFonts w:ascii="Times New Roman" w:cs="Times New Roman" w:eastAsia="Times New Roman" w:hAnsi="Times New Roman"/>
          <w:sz w:val="18"/>
          <w:szCs w:val="18"/>
          <w:u w:val="single" w:color="auto"/>
          <w:color w:val="auto"/>
        </w:rPr>
        <w:t>Plan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xml:space="preserve">”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and substantially the “</w:t>
      </w:r>
      <w:r>
        <w:rPr>
          <w:rFonts w:ascii="Times New Roman" w:cs="Times New Roman" w:eastAsia="Times New Roman" w:hAnsi="Times New Roman"/>
          <w:sz w:val="18"/>
          <w:szCs w:val="18"/>
          <w:u w:val="single" w:color="auto"/>
          <w:color w:val="auto"/>
        </w:rPr>
        <w:t>Selling Stockholder</w:t>
      </w:r>
      <w:r>
        <w:rPr>
          <w:rFonts w:ascii="Times New Roman" w:cs="Times New Roman" w:eastAsia="Times New Roman" w:hAnsi="Times New Roman"/>
          <w:sz w:val="18"/>
          <w:szCs w:val="18"/>
          <w:color w:val="auto"/>
        </w:rPr>
        <w:t xml:space="preserve">” section attached hereto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Holder shall be required to be named as an “underwriter” without such Holder’s express prior written consent. Subject to the terms of this Agreement, the Company shall use its best efforts to cause a Registration Statement filed under this Agreement (including, without limitation, under Section 3(c)) to be declared effective under the Securities Act as promptly as possible after the filing thereof, but in any event no later than the applicable Effectiveness Date, and shall use its best efforts to keep such Registration Statement continuously effective under the Securities Act until the date that all Registrable Securities covered by such Registration Statement (i) have been sold, thereunder or pursuant to Rule 144, or (ii) may be sold without volume or manner-of-sale restrictions pursuant to Rule 144 and without the requirement for the Company to be in compliance with the current public information requirement under Rule 144, as determined by the counsel to the Company pursuant to a written opinion letter to such effect, addressed and acceptable to the Transfer Agent and the affected Holders (the “</w:t>
      </w:r>
      <w:r>
        <w:rPr>
          <w:rFonts w:ascii="Times New Roman" w:cs="Times New Roman" w:eastAsia="Times New Roman" w:hAnsi="Times New Roman"/>
          <w:sz w:val="18"/>
          <w:szCs w:val="18"/>
          <w:u w:val="single" w:color="auto"/>
          <w:color w:val="auto"/>
        </w:rPr>
        <w:t>Effectiveness Period</w:t>
      </w:r>
      <w:r>
        <w:rPr>
          <w:rFonts w:ascii="Times New Roman" w:cs="Times New Roman" w:eastAsia="Times New Roman" w:hAnsi="Times New Roman"/>
          <w:sz w:val="18"/>
          <w:szCs w:val="18"/>
          <w:color w:val="auto"/>
        </w:rPr>
        <w:t>”). The Company shall telephonically request effectiveness of a Registration Statement as of 5:00 p.m. (New York City time) on a Trading Day. The Company shall immediately notify the Holders via e-mail of the effectiveness of a Registration Statement on the same Trading Day that the Company telephonically confirms effectiveness with the Commission, which shall be the date requested for effectiveness of such Registration Statement. The Company shall, by 9:30 a.m. (New York City time) on the Trading Day after the effective date of such Registration Statement, file a final Prospectus with the Commission as required by Rule 424. Failure to so notify the Holder within one (1) Trading Day of such notification of effectiveness or failure to file a final Prospectus as foresaid shall be deemed an Event under Section 2(d).</w:t>
      </w:r>
    </w:p>
    <w:p>
      <w:pPr>
        <w:spacing w:after="0" w:line="200" w:lineRule="exact"/>
        <w:rPr>
          <w:sz w:val="20"/>
          <w:szCs w:val="20"/>
          <w:color w:val="auto"/>
        </w:rPr>
      </w:pPr>
    </w:p>
    <w:p>
      <w:pPr>
        <w:spacing w:after="0" w:line="205"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4"/>
          </w:cols>
          <w:pgMar w:left="976" w:top="904" w:right="359" w:bottom="1440" w:gutter="0" w:footer="0" w:header="0"/>
        </w:sectPr>
      </w:pPr>
    </w:p>
    <w:bookmarkStart w:id="103" w:name="page104"/>
    <w:bookmarkEnd w:id="103"/>
    <w:p>
      <w:pPr>
        <w:ind w:firstLine="320"/>
        <w:spacing w:after="0" w:line="254" w:lineRule="auto"/>
        <w:tabs>
          <w:tab w:leader="none" w:pos="624"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registration obligations set forth in Section 2(a), if the Commission informs the Company that all of the Registrable Securities cannot, as a result of the application of Rule 415, be registered for resale as a secondary offering on a single registration statement, the Company agrees to promptly inform each of the Holders thereof and use its commercially reasonable efforts to file amendments to the Initial Registration Statement as required by the Commission, covering the maximum number of Registrable Securities permitted to be registered by the Commission, on Form S-3 or such other form available to register for resale the Registrable Securities as a secondary offering, subject to the provisions of Section 2(e); with respect to filing on Form S-3 or other appropriate form, and subject to the provisions of Section 2(d) with respect to the payment of liquidated damages;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prior to filing such amendment, the Company shall be obligated to use diligent efforts to advocate with the Commission for the registration of all of the Registrable Securities in accordance with the SEC Guidance, including without limitation, Compliance and Disclosure Interpretation 612.09.</w:t>
      </w:r>
    </w:p>
    <w:p>
      <w:pPr>
        <w:spacing w:after="0" w:line="188" w:lineRule="exact"/>
        <w:rPr>
          <w:rFonts w:ascii="Times New Roman" w:cs="Times New Roman" w:eastAsia="Times New Roman" w:hAnsi="Times New Roman"/>
          <w:sz w:val="18"/>
          <w:szCs w:val="18"/>
          <w:color w:val="auto"/>
        </w:rPr>
      </w:pPr>
    </w:p>
    <w:p>
      <w:pPr>
        <w:ind w:right="20" w:firstLine="320"/>
        <w:spacing w:after="0" w:line="258" w:lineRule="auto"/>
        <w:tabs>
          <w:tab w:leader="none" w:pos="569"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and subject to the payment of liquidated damages pursuant to Section 2(d), if the Commission or any SEC Guidance sets forth a limitation on the number of Registrable Securities permitted to be registered on a particular Registration Statement as a secondary offering (and notwithstanding that the Company used diligent efforts to advocate with the Commission for the registration of all or a greater portion of Registrable Securities), unless otherwise directed in writing by a Holder as to its Registrable Securities, the number of Registrable Securities to be registered on such Registration Statement will be reduced as follows:</w:t>
      </w:r>
    </w:p>
    <w:p>
      <w:pPr>
        <w:spacing w:after="0" w:line="183" w:lineRule="exact"/>
        <w:rPr>
          <w:sz w:val="20"/>
          <w:szCs w:val="20"/>
          <w:color w:val="auto"/>
        </w:rPr>
      </w:pPr>
    </w:p>
    <w:p>
      <w:pPr>
        <w:ind w:left="640" w:hanging="320"/>
        <w:spacing w:after="0"/>
        <w:tabs>
          <w:tab w:leader="none" w:pos="6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the Company shall reduce or eliminate any securities to be included other than Registrable Securities;</w:t>
      </w:r>
    </w:p>
    <w:p>
      <w:pPr>
        <w:spacing w:after="0" w:line="225" w:lineRule="exact"/>
        <w:rPr>
          <w:rFonts w:ascii="Times New Roman" w:cs="Times New Roman" w:eastAsia="Times New Roman" w:hAnsi="Times New Roman"/>
          <w:sz w:val="18"/>
          <w:szCs w:val="18"/>
          <w:color w:val="auto"/>
        </w:rPr>
      </w:pPr>
    </w:p>
    <w:p>
      <w:pPr>
        <w:jc w:val="both"/>
        <w:ind w:left="640" w:right="460" w:hanging="320"/>
        <w:spacing w:after="0" w:line="266" w:lineRule="auto"/>
        <w:tabs>
          <w:tab w:leader="none" w:pos="6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the Company shall reduce Registrable Securities represented by Common Warrant Shares (applied, in the case that some Common Warrant Shares may be registered, to the Holders on a pro rata basis based on the total number of unregistered Common Warrant Shares held by such Holders); and</w:t>
      </w:r>
    </w:p>
    <w:p>
      <w:pPr>
        <w:spacing w:after="0" w:line="175" w:lineRule="exact"/>
        <w:rPr>
          <w:rFonts w:ascii="Times New Roman" w:cs="Times New Roman" w:eastAsia="Times New Roman" w:hAnsi="Times New Roman"/>
          <w:sz w:val="18"/>
          <w:szCs w:val="18"/>
          <w:color w:val="auto"/>
        </w:rPr>
      </w:pPr>
    </w:p>
    <w:p>
      <w:pPr>
        <w:jc w:val="both"/>
        <w:ind w:left="640" w:right="100" w:hanging="320"/>
        <w:spacing w:after="0" w:line="266" w:lineRule="auto"/>
        <w:tabs>
          <w:tab w:leader="none" w:pos="6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the Company shall reduce Registrable Securities represented by Shares and Pre-Funded Warrants (applied, in the case that some Shares and Pre-Funded Warrants may be registered, to the Holders on a pro rata basis based on the total number of unregistered Shares and Pre-Funded Warrants held by such Holders).</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the event of a cutback hereunder, the Company shall give the Holder at least five (5) Trading Days prior written notice along with the calculations as to such Holder’s allotment. In the event the Company amends the Initial Registration Statement in accordance with the foregoing, the Company will use its best efforts to file with the Commission, as promptly as allowed by the Commission or SEC Guidance provided to the Company or to registrants of securities in general, one or more registration statements on Form S-3 or such other form available to register for resale those Registrable Securities that were not registered for resale on the Initial Registration Statement, as amended.</w:t>
      </w:r>
    </w:p>
    <w:p>
      <w:pPr>
        <w:spacing w:after="0" w:line="399"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60"/>
          </w:cols>
          <w:pgMar w:left="980" w:top="904" w:right="459" w:bottom="1440" w:gutter="0" w:footer="0" w:header="0"/>
        </w:sectPr>
      </w:pPr>
    </w:p>
    <w:bookmarkStart w:id="104" w:name="page105"/>
    <w:bookmarkEnd w:id="104"/>
    <w:p>
      <w:pPr>
        <w:ind w:left="4" w:right="40" w:firstLine="320"/>
        <w:spacing w:after="0" w:line="267" w:lineRule="auto"/>
        <w:tabs>
          <w:tab w:leader="none" w:pos="583" w:val="left"/>
        </w:tabs>
        <w:numPr>
          <w:ilvl w:val="1"/>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(i) the Initial Registration Statement is not filed on or prior to its Filing Date (if the Company files the Initial Registration Statement without affording the Holders the opportunity to review and comment on the same as required by Section 3(a) herein or the Company subsequently withdraws the filing of the Registration Statement, the Company shall be deemed to have not satisfied this clause (i) as of the Filing Date), or (ii) the Company fails to file with the Commission a request for acceleration of a Registration Statement in accordance with Rule 461 promulgated by the Commission pursuant to the Securities Act, within five (5) Trading Days of the date that the Company is notified (orally or in writing, whichever is earlier) by the Commission that such Registration Statement will not be “reviewed” or will not be subject to further review, or (iii) prior to the effective date of a Registration Statement, the Company fails to file a pre-effective amendment and otherwise respond in writing to comments made by the Commission in respect of such Registration Statement within ten (10) calendar days after the receipt of comments by or notice from the Commission that such amendment is required in order for such Registration Statement to be declared effective, or</w:t>
      </w:r>
    </w:p>
    <w:p>
      <w:pPr>
        <w:spacing w:after="0" w:line="5" w:lineRule="exact"/>
        <w:rPr>
          <w:rFonts w:ascii="Times New Roman" w:cs="Times New Roman" w:eastAsia="Times New Roman" w:hAnsi="Times New Roman"/>
          <w:sz w:val="17"/>
          <w:szCs w:val="17"/>
          <w:color w:val="auto"/>
        </w:rPr>
      </w:pPr>
    </w:p>
    <w:p>
      <w:pPr>
        <w:ind w:left="4" w:right="100" w:hanging="4"/>
        <w:spacing w:after="0" w:line="265" w:lineRule="auto"/>
        <w:tabs>
          <w:tab w:leader="none" w:pos="309"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Registration Statement registering for resale all of the Registrable Securities is not declared effective by the Commission by the Effectiveness Date of the Initial Registration Statement, or (v) after the effective date of a Registration Statement, such Registration Statement ceases for any reason to remain continuously effective as to all Registrable Securities included in such Registration Statement, or the Holders are otherwise not permitted to utilize the Prospectus therein to resell such Registrable Securities, for more than ten (10) consecutive calendar days or more than an aggregate of fifteen (15) calendar days (which need not be consecutive calendar days) during any 12-month period (any such failure or breach being referred to as an “</w:t>
      </w:r>
      <w:r>
        <w:rPr>
          <w:rFonts w:ascii="Times New Roman" w:cs="Times New Roman" w:eastAsia="Times New Roman" w:hAnsi="Times New Roman"/>
          <w:sz w:val="17"/>
          <w:szCs w:val="17"/>
          <w:u w:val="single" w:color="auto"/>
          <w:color w:val="auto"/>
        </w:rPr>
        <w:t>Event</w:t>
      </w:r>
      <w:r>
        <w:rPr>
          <w:rFonts w:ascii="Times New Roman" w:cs="Times New Roman" w:eastAsia="Times New Roman" w:hAnsi="Times New Roman"/>
          <w:sz w:val="17"/>
          <w:szCs w:val="17"/>
          <w:color w:val="auto"/>
        </w:rPr>
        <w:t>”, and for purposes of clauses (i) and (iv), the date on which such Event occurs, and for purpose of clause</w:t>
      </w:r>
    </w:p>
    <w:p>
      <w:pPr>
        <w:ind w:left="4" w:right="60" w:hanging="4"/>
        <w:spacing w:after="0" w:line="251" w:lineRule="auto"/>
        <w:tabs>
          <w:tab w:leader="none" w:pos="269"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such five (5) Trading Day period is exceeded, and for purpose of clause (iii) the date which such ten (10) calendar day period is exceeded, and for purpose of clause (v) the date on which such ten (10) or fifteen (15) calendar day period, as applicable, is exceeded being referred to as “</w:t>
      </w:r>
      <w:r>
        <w:rPr>
          <w:rFonts w:ascii="Times New Roman" w:cs="Times New Roman" w:eastAsia="Times New Roman" w:hAnsi="Times New Roman"/>
          <w:sz w:val="18"/>
          <w:szCs w:val="18"/>
          <w:u w:val="single" w:color="auto"/>
          <w:color w:val="auto"/>
        </w:rPr>
        <w:t>Event Date</w:t>
      </w:r>
      <w:r>
        <w:rPr>
          <w:rFonts w:ascii="Times New Roman" w:cs="Times New Roman" w:eastAsia="Times New Roman" w:hAnsi="Times New Roman"/>
          <w:sz w:val="18"/>
          <w:szCs w:val="18"/>
          <w:color w:val="auto"/>
        </w:rPr>
        <w:t>”), then, in addition to any other rights the Holders may have hereunder or under applicable law, on each such Event Date and on each monthly anniversary of each such Event Date (if the applicable Event shall not have been cured by such date) until the applicable Event is cured, the Company shall pay to each Holder an amount in cash, as partial liquidated damages and not as a penalty, equal to the product of 2.0% multiplied by the aggregate Subscription Amount paid by such Holder pursuant to the Purchase Agreement. The parties agree that the maximum aggregate liquidated damages payable to a Holder under this Agreement shall be 18% of the aggregate Subscription Amount paid by such Holder pursuant to the Purchase Agreement. If the Company fails to pay any partial liquidated damages pursuant to this Section in full within seven days after the date payable, the Company will pay interest thereon at a rate of 18% per annum (or such lesser maximum amount that is permitted to be paid by applicable law) to the Holder, accruing daily from the date such partial liquidated damages are due until such amounts, plus all such interest thereon, are paid in full. The partial liquidated damages pursuant to the terms hereof shall apply on a daily pro rata basis for any portion of a month prior to the cure of an Event.</w:t>
      </w:r>
    </w:p>
    <w:p>
      <w:pPr>
        <w:spacing w:after="0" w:line="192" w:lineRule="exact"/>
        <w:rPr>
          <w:rFonts w:ascii="Times New Roman" w:cs="Times New Roman" w:eastAsia="Times New Roman" w:hAnsi="Times New Roman"/>
          <w:sz w:val="18"/>
          <w:szCs w:val="18"/>
          <w:color w:val="auto"/>
        </w:rPr>
      </w:pPr>
    </w:p>
    <w:p>
      <w:pPr>
        <w:ind w:left="4" w:firstLine="320"/>
        <w:spacing w:after="0" w:line="261" w:lineRule="auto"/>
        <w:tabs>
          <w:tab w:leader="none" w:pos="573"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Form S-3 is not available for the registration of the resale of Registrable Securities hereunder, the Company shall (i) register the resale of the Registrable Securities on another appropriate form and (ii) undertake to register the Registrable Securities on Form S-3 as soon as such form is available, provided that the Company shall maintain the effectiveness of the Registration Statement then in effect until such time as a Registration Statement on Form S-3 covering the Registrable Securities has been declared effective by the Commission.</w:t>
      </w:r>
    </w:p>
    <w:p>
      <w:pPr>
        <w:spacing w:after="0" w:line="179" w:lineRule="exact"/>
        <w:rPr>
          <w:rFonts w:ascii="Times New Roman" w:cs="Times New Roman" w:eastAsia="Times New Roman" w:hAnsi="Times New Roman"/>
          <w:sz w:val="18"/>
          <w:szCs w:val="18"/>
          <w:color w:val="auto"/>
        </w:rPr>
      </w:pPr>
    </w:p>
    <w:p>
      <w:pPr>
        <w:ind w:left="4" w:right="20" w:firstLine="320"/>
        <w:spacing w:after="0" w:line="282" w:lineRule="auto"/>
        <w:tabs>
          <w:tab w:leader="none" w:pos="553"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in no event shall the Company be permitted to name any Holder or affiliate of a Holder as any underwriter without the prior written consent of such Holder.</w:t>
      </w:r>
    </w:p>
    <w:p>
      <w:pPr>
        <w:spacing w:after="0" w:line="378"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05" w:name="page106"/>
    <w:bookmarkEnd w:id="105"/>
    <w:p>
      <w:pPr>
        <w:ind w:left="184" w:hanging="184"/>
        <w:spacing w:after="0"/>
        <w:tabs>
          <w:tab w:leader="none" w:pos="18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Procedures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connection with the Company’s registration obligations hereunder, the Company shall:</w:t>
      </w:r>
    </w:p>
    <w:p>
      <w:pPr>
        <w:spacing w:after="0" w:line="225" w:lineRule="exact"/>
        <w:rPr>
          <w:sz w:val="20"/>
          <w:szCs w:val="20"/>
          <w:color w:val="auto"/>
        </w:rPr>
      </w:pPr>
    </w:p>
    <w:p>
      <w:pPr>
        <w:ind w:left="4" w:right="120" w:firstLine="320"/>
        <w:spacing w:after="0" w:line="252" w:lineRule="auto"/>
        <w:tabs>
          <w:tab w:leader="none" w:pos="573"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 less than five (5) Trading Days prior to the filing of each Registration Statement and not less than one (1) Trading Day prior to the filing of any related Prospectus or any amendment or supplement thereto (including any document that would be incorporated or deemed to be incorporated therein by reference), the Company shall (i) furnish to each Holder copies of all such documents proposed to be filed, which documents (other than those incorporated or deemed to be incorporated by reference) will be subject to the review of such Holders, and (ii) cause its officers and directors, counsel and independent registered public accountants to respond to such inquiries as shall be necessary, in the reasonable opinion of respective counsel to each Holder, to conduct a reasonable investigation within the meaning of the Securities Act. The Company shall not file a Registration Statement or any such Prospectus or any amendments or supplements thereto to which the Holders of a majority of the Registrable Securities shall reasonably object in good faith, provided that, the Company is notified of such objection in writing no later than five (5) Trading Days after the Holders have been so furnished copies of a Registration Statement or one (1) Trading Day after the Holders have been so furnished copies of any related Prospectus or amendments or supplements thereto. Each Holder agrees to furnish to the Company a completed questionnaire in the form attached to this Agreement as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Selling Stockholder Questionnaire</w:t>
      </w:r>
      <w:r>
        <w:rPr>
          <w:rFonts w:ascii="Times New Roman" w:cs="Times New Roman" w:eastAsia="Times New Roman" w:hAnsi="Times New Roman"/>
          <w:sz w:val="18"/>
          <w:szCs w:val="18"/>
          <w:color w:val="auto"/>
        </w:rPr>
        <w:t>”) on a date that is</w:t>
      </w:r>
    </w:p>
    <w:p>
      <w:pPr>
        <w:spacing w:after="0" w:line="4" w:lineRule="exact"/>
        <w:rPr>
          <w:sz w:val="20"/>
          <w:szCs w:val="20"/>
          <w:color w:val="auto"/>
        </w:rPr>
      </w:pPr>
    </w:p>
    <w:p>
      <w:pPr>
        <w:ind w:left="4" w:right="140"/>
        <w:spacing w:after="0" w:line="209" w:lineRule="auto"/>
        <w:rPr>
          <w:sz w:val="20"/>
          <w:szCs w:val="20"/>
          <w:color w:val="auto"/>
        </w:rPr>
      </w:pPr>
      <w:r>
        <w:rPr>
          <w:rFonts w:ascii="Times New Roman" w:cs="Times New Roman" w:eastAsia="Times New Roman" w:hAnsi="Times New Roman"/>
          <w:sz w:val="18"/>
          <w:szCs w:val="18"/>
          <w:color w:val="auto"/>
        </w:rPr>
        <w:t>not less than two (2) Trading Days prior to the Filing Date or by the end of the fourth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Trading Day following the date on which such Holder receives draft materials in accordance with this Section.</w:t>
      </w:r>
    </w:p>
    <w:p>
      <w:pPr>
        <w:spacing w:after="0" w:line="200" w:lineRule="exact"/>
        <w:rPr>
          <w:sz w:val="20"/>
          <w:szCs w:val="20"/>
          <w:color w:val="auto"/>
        </w:rPr>
      </w:pPr>
    </w:p>
    <w:p>
      <w:pPr>
        <w:ind w:left="4" w:firstLine="320"/>
        <w:spacing w:after="0" w:line="269" w:lineRule="auto"/>
        <w:tabs>
          <w:tab w:leader="none" w:pos="583" w:val="left"/>
        </w:tabs>
        <w:numPr>
          <w:ilvl w:val="1"/>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Prepare and file with the Commission such amendments, including post-effective amendments, to a Registration Statement and the Prospectus used in connection therewith as may be necessary to keep a Registration Statement continuously effective as to the applicable Registrable Securities for the Effectiveness Period and prepare and file with the Commission such additional Registration Statements in order to register for resale under the Securities Act all of the Registrable Securities, (ii) cause the related Prospectus to be amended or supplemented by any required Prospectus supplement (subject to the terms of this Agreement), and, as so supplemented or amended, to be filed pursuant to Rule 424,</w:t>
      </w:r>
    </w:p>
    <w:p>
      <w:pPr>
        <w:spacing w:after="0" w:line="2" w:lineRule="exact"/>
        <w:rPr>
          <w:rFonts w:ascii="Times New Roman" w:cs="Times New Roman" w:eastAsia="Times New Roman" w:hAnsi="Times New Roman"/>
          <w:sz w:val="17"/>
          <w:szCs w:val="17"/>
          <w:color w:val="auto"/>
        </w:rPr>
      </w:pPr>
    </w:p>
    <w:p>
      <w:pPr>
        <w:ind w:left="4" w:right="100" w:hanging="4"/>
        <w:spacing w:after="0" w:line="252" w:lineRule="auto"/>
        <w:tabs>
          <w:tab w:leader="none" w:pos="319"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as promptly as reasonably possible to any comments received from the Commission with respect to a Registration Statement or any amendment thereto and provide as promptly as reasonably possible to the Holders true and complete copies of all correspondence from and to the Commission relating to a Registration Statement (provided that, the Company shall excise any information contained therein which would constitute material non-public information regarding the Company or any of its Subsidiaries), and (iv) comply in all material respects with the applicable provisions of the Securities Act and the Exchange Act with respect to the disposition of all Registrable Securities covered by a Registration Statement during the applicable period in accordance (subject to the terms of this Agreement) with the intended methods of disposition by the Holders thereof set forth in such Registration Statement as so amended or in such Prospectus as so supplemented.</w:t>
      </w:r>
    </w:p>
    <w:p>
      <w:pPr>
        <w:spacing w:after="0" w:line="188" w:lineRule="exact"/>
        <w:rPr>
          <w:rFonts w:ascii="Times New Roman" w:cs="Times New Roman" w:eastAsia="Times New Roman" w:hAnsi="Times New Roman"/>
          <w:sz w:val="18"/>
          <w:szCs w:val="18"/>
          <w:color w:val="auto"/>
        </w:rPr>
      </w:pPr>
    </w:p>
    <w:p>
      <w:pPr>
        <w:ind w:left="4" w:right="300" w:firstLine="320"/>
        <w:spacing w:after="0" w:line="261" w:lineRule="auto"/>
        <w:tabs>
          <w:tab w:leader="none" w:pos="573"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during the Effectiveness Period, the number of Registrable Securities at any time exceeds 100% of the number of shares of Common Stock then registered in a Registration Statement, then the Company shall file as soon as reasonably practicable, but in any case prior to the applicable Filing Date, an additional Registration Statement covering the resale by the Holders of not less than the number of such Registrable Securities.</w:t>
      </w:r>
    </w:p>
    <w:p>
      <w:pPr>
        <w:spacing w:after="0" w:line="396"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06" w:name="page107"/>
    <w:bookmarkEnd w:id="106"/>
    <w:p>
      <w:pPr>
        <w:ind w:left="-320" w:right="20" w:firstLine="320"/>
        <w:spacing w:after="0" w:line="251" w:lineRule="auto"/>
        <w:tabs>
          <w:tab w:leader="none" w:pos="25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Notify the Holders of Registrable Securities to be sold (which notice shall, pursuant to clauses (iii) through (vi) hereof, be accompanied by an instruction to suspend the use of the Prospectus until the requisite changes have been made) as promptly as reasonably possible (and, in the case of (i)(A) below, not less than one (1) Trading Day prior to such filing) and (if requested by any such Person) confirm such notice in writing no later than one (1) Trading Day following the day (i)(A) when a Prospectus or any Prospectus supplement or post-effective amendment to a Registration Statement is proposed to be filed, (B) when the Commission notifies the Company whether there will be a “review” of such Registration Statement and whenever the Commission comments in writing on such Registration Statement, and (C) with respect to a Registration Statement or any post-effective amendment, when the same has become effective, (ii) of any request by the Commission or any other federal or state governmental authority for amendments or supplements to a Registration Statement or Prospectus or for additional information, (iii) of the issuance by the Commission or any other federal or state governmental authority of any stop order suspending the effectiveness of a Registration Statement covering any or all of the Registrable Securities or the initiation of any Proceedings for that purpose, (iv) of the receipt by the Company of any notification with respect to the suspension of the qualification or exemption from qualification of any of the Registrable Securities for sale in any jurisdiction, or the initiation or threatening of any Proceeding for such purpose, (v) of the occurrence of any event or passage of time that makes the financial statements included in a Registration Statement ineligible for inclusion therein or any statement made in a Registration Statement or Prospectus or any document incorporated or deemed to be incorporated therein by reference untrue in any material respect or that requires any revisions to a Registration Statement, Prospectus or other documents so that, in the case of a Registration Statement or the Prospectus, as the case may be, it will not contain any untrue statement of a material fact or omit to state any material fact required to be stated therein or necessary to make the statements therein, in light of the circumstances under which they were made, not misleading, and (vi) of the occurrence or existence of any pending corporate development with respect to the Company that the Company believes may be material and that, in the determination of the Company, makes it not in the best interest of the Company to allow continued availability of a Registration Statement or Prospectus;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any such notice contain any information which would constitute material, non-public information regarding the Company or any of its Subsidiaries, and the Company agrees that the Holders shall not have any duty of confidentiality to the Company or any of its Subsidiaries and shall not have any duty to the Company or any of its Subsidiaries not to trade on the basis of such information.</w:t>
      </w:r>
    </w:p>
    <w:p>
      <w:pPr>
        <w:spacing w:after="0" w:line="205" w:lineRule="exact"/>
        <w:rPr>
          <w:rFonts w:ascii="Times New Roman" w:cs="Times New Roman" w:eastAsia="Times New Roman" w:hAnsi="Times New Roman"/>
          <w:sz w:val="18"/>
          <w:szCs w:val="18"/>
          <w:color w:val="auto"/>
        </w:rPr>
      </w:pPr>
    </w:p>
    <w:p>
      <w:pPr>
        <w:ind w:left="-320" w:right="60" w:firstLine="320"/>
        <w:spacing w:after="0" w:line="266" w:lineRule="auto"/>
        <w:tabs>
          <w:tab w:leader="none" w:pos="24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best efforts to avoid the issuance of, or, if issued, obtain the withdrawal of (i) any order stopping or suspending the effectiveness of a Registration Statement, or (ii) any suspension of the qualification (or exemption from qualification) of any of the Registrable Securities for sale in any jurisdiction, at the earliest practicable moment.</w:t>
      </w:r>
    </w:p>
    <w:p>
      <w:pPr>
        <w:spacing w:after="0" w:line="175" w:lineRule="exact"/>
        <w:rPr>
          <w:rFonts w:ascii="Times New Roman" w:cs="Times New Roman" w:eastAsia="Times New Roman" w:hAnsi="Times New Roman"/>
          <w:sz w:val="18"/>
          <w:szCs w:val="18"/>
          <w:color w:val="auto"/>
        </w:rPr>
      </w:pPr>
    </w:p>
    <w:p>
      <w:pPr>
        <w:ind w:left="-320" w:right="20" w:firstLine="320"/>
        <w:spacing w:after="0" w:line="258" w:lineRule="auto"/>
        <w:tabs>
          <w:tab w:leader="none" w:pos="22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each Holder, without charge, at least one conformed copy of each such Registration Statement and each amendment thereto, including financial statements and schedules, all documents incorporated or deemed to be incorporated therein by reference to the extent requested by such Person, and all exhibits to the extent requested by such Person (including those previously furnished or incorporated by reference) promptly after the filing of such documents with the Commission; provided, that any such item which is available on the EDGAR system (or successor thereto) need not be furnished in physical form.</w:t>
      </w:r>
    </w:p>
    <w:p>
      <w:pPr>
        <w:spacing w:after="0" w:line="183" w:lineRule="exact"/>
        <w:rPr>
          <w:rFonts w:ascii="Times New Roman" w:cs="Times New Roman" w:eastAsia="Times New Roman" w:hAnsi="Times New Roman"/>
          <w:sz w:val="18"/>
          <w:szCs w:val="18"/>
          <w:color w:val="auto"/>
        </w:rPr>
      </w:pPr>
    </w:p>
    <w:p>
      <w:pPr>
        <w:jc w:val="both"/>
        <w:ind w:left="-320" w:right="220" w:firstLine="320"/>
        <w:spacing w:after="0" w:line="266" w:lineRule="auto"/>
        <w:tabs>
          <w:tab w:leader="none" w:pos="25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this Agreement, the Company hereby consents to the use of such Prospectus and each amendment or supplement thereto by each of the selling Holders in connection with the offering and sale of the Registrable Securities covered by such Prospectus and any amendment or supplement thereto, except after the giving of any notice pursuant to Section 3(d).</w:t>
      </w:r>
    </w:p>
    <w:p>
      <w:pPr>
        <w:spacing w:after="0" w:line="175" w:lineRule="exact"/>
        <w:rPr>
          <w:rFonts w:ascii="Times New Roman" w:cs="Times New Roman" w:eastAsia="Times New Roman" w:hAnsi="Times New Roman"/>
          <w:sz w:val="18"/>
          <w:szCs w:val="18"/>
          <w:color w:val="auto"/>
        </w:rPr>
      </w:pPr>
    </w:p>
    <w:p>
      <w:pPr>
        <w:ind w:left="-320" w:firstLine="320"/>
        <w:spacing w:after="0" w:line="254" w:lineRule="auto"/>
        <w:tabs>
          <w:tab w:leader="none" w:pos="30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any resale of Registrable Securities by a Holder, use its commercially reasonable efforts to register or qualify or cooperate with the selling Holders in connection with the registration or qualification (or exemption from the registration or qualification) of such Registrable Securities for the resale by the Holder under the securities or Blue Sky laws of such jurisdictions within the United States as any Holder reasonably requests in writing, to keep each registration or qualification (or exemption therefrom) effective during the Effectiveness Period and to do any and all other acts or things reasonably necessary to enable the disposition in such jurisdictions of the Registrable Securities covered by each Registration Statement; provided, that the Company shall not be required to qualify generally to do business in any jurisdiction where it is not then so qualified, subject the Company to any material tax in any such jurisdiction where it is not then so subject or file a general consent to service of process in any such jurisdiction.</w:t>
      </w:r>
    </w:p>
    <w:p>
      <w:pPr>
        <w:spacing w:after="0" w:line="200" w:lineRule="exact"/>
        <w:rPr>
          <w:sz w:val="20"/>
          <w:szCs w:val="20"/>
          <w:color w:val="auto"/>
        </w:rPr>
      </w:pPr>
    </w:p>
    <w:p>
      <w:pPr>
        <w:spacing w:after="0" w:line="20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904" w:right="339" w:bottom="1440" w:gutter="0" w:footer="0" w:header="0"/>
        </w:sectPr>
      </w:pPr>
    </w:p>
    <w:bookmarkStart w:id="107" w:name="page108"/>
    <w:bookmarkEnd w:id="107"/>
    <w:p>
      <w:pPr>
        <w:ind w:left="-320" w:right="20" w:firstLine="320"/>
        <w:spacing w:after="0" w:line="261" w:lineRule="auto"/>
        <w:tabs>
          <w:tab w:leader="none" w:pos="219"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a Holder, cooperate with such Holder to facilitate the timely preparation and delivery of certificates representing Registrable Securities to be delivered to a transferee pursuant to a Registration Statement, which certificates shall be free, to the extent permitted by the Purchase Agreement, of all restrictive legends, and to enable such Registrable Securities to be in such denominations and registered in such names as any such Holder may request.</w:t>
      </w:r>
    </w:p>
    <w:p>
      <w:pPr>
        <w:spacing w:after="0" w:line="179" w:lineRule="exact"/>
        <w:rPr>
          <w:rFonts w:ascii="Times New Roman" w:cs="Times New Roman" w:eastAsia="Times New Roman" w:hAnsi="Times New Roman"/>
          <w:sz w:val="18"/>
          <w:szCs w:val="18"/>
          <w:color w:val="auto"/>
        </w:rPr>
      </w:pPr>
    </w:p>
    <w:p>
      <w:pPr>
        <w:ind w:left="-320" w:right="40" w:firstLine="320"/>
        <w:spacing w:after="0" w:line="253" w:lineRule="auto"/>
        <w:tabs>
          <w:tab w:leader="none" w:pos="219"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any event contemplated by Section 3(d), as promptly as reasonably possible under the circumstances taking into account the Company’s good faith assessment of any adverse consequences to the Company and its stockholders of the premature disclosure of such event, prepare a supplement or amendment, including a post-effective amendment, to a Registration Statement or a supplement to the related Prospectus or any document incorporated or deemed to be incorporated therein by reference, and file any other required document so that, as thereafter delivered, neither a Registration Statement nor such Prospectus will contain an untrue statement of a material fact or omit to state a material fact required to be stated therein or necessary to make the statements therein, in light of the circumstances under which they were made, not misleading. If the Company notifies the Holders in accordance with clauses (iii) through (vi) of Section 3(d) above to suspend the use of any Prospectus until the requisite changes to such Prospectus have been made, then the Holders shall suspend use of such Prospectus. The Company will use its best efforts to ensure that the use of the Prospectus may be resumed as promptly as is practicable. The Company shall be entitled to exercise its right under this Section 3(j) to suspend the availability of a Registration Statement and Prospectus, subject to the payment of partial liquidated damages otherwise required pursuant to Section 2(d), for a period not to exceed 60 calendar days (which need not be consecutive days) in any 12-month period.</w:t>
      </w:r>
    </w:p>
    <w:p>
      <w:pPr>
        <w:spacing w:after="0" w:line="189" w:lineRule="exact"/>
        <w:rPr>
          <w:rFonts w:ascii="Times New Roman" w:cs="Times New Roman" w:eastAsia="Times New Roman" w:hAnsi="Times New Roman"/>
          <w:sz w:val="18"/>
          <w:szCs w:val="18"/>
          <w:color w:val="auto"/>
        </w:rPr>
      </w:pPr>
    </w:p>
    <w:p>
      <w:pPr>
        <w:ind w:left="-320" w:firstLine="320"/>
        <w:spacing w:after="0" w:line="256" w:lineRule="auto"/>
        <w:tabs>
          <w:tab w:leader="none" w:pos="259"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use commercially reasonable efforts to comply with all applicable rules and regulations of the Commission under the Securities Act and the Exchange Act, including, without limitation, Rule 172 under the Securities Act, file any final Prospectus, including any supplement or amendment thereof, with the Commission pursuant to Rule 424 under the Securities Act, promptly inform the Holders in writing if, at any time during the Effectiveness Period, the Company does not satisfy the conditions specified in Rule 172 and, as a result thereof, the Holders are required to deliver a Prospectus in connection with any disposition of Registrable Securities and take such other actions as may be reasonably necessary to facilitate the registration of the Registrable Securities hereunder.</w:t>
      </w:r>
    </w:p>
    <w:p>
      <w:pPr>
        <w:spacing w:after="0" w:line="187" w:lineRule="exact"/>
        <w:rPr>
          <w:rFonts w:ascii="Times New Roman" w:cs="Times New Roman" w:eastAsia="Times New Roman" w:hAnsi="Times New Roman"/>
          <w:sz w:val="18"/>
          <w:szCs w:val="18"/>
          <w:color w:val="auto"/>
        </w:rPr>
      </w:pPr>
    </w:p>
    <w:p>
      <w:pPr>
        <w:ind w:left="-320" w:right="40" w:firstLine="320"/>
        <w:spacing w:after="0" w:line="282" w:lineRule="auto"/>
        <w:tabs>
          <w:tab w:leader="none" w:pos="21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use its best efforts to maintain eligibility for use of Form S-3 (or any successor form thereto) for the registration of the resale of Registrable Securities.</w:t>
      </w:r>
    </w:p>
    <w:p>
      <w:pPr>
        <w:spacing w:after="0" w:line="161" w:lineRule="exact"/>
        <w:rPr>
          <w:rFonts w:ascii="Times New Roman" w:cs="Times New Roman" w:eastAsia="Times New Roman" w:hAnsi="Times New Roman"/>
          <w:sz w:val="18"/>
          <w:szCs w:val="18"/>
          <w:color w:val="auto"/>
        </w:rPr>
      </w:pPr>
    </w:p>
    <w:p>
      <w:pPr>
        <w:ind w:left="-320" w:right="20" w:firstLine="320"/>
        <w:spacing w:after="0" w:line="256" w:lineRule="auto"/>
        <w:tabs>
          <w:tab w:leader="none" w:pos="30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require each selling Holder to furnish to the Company a certified statement as to the number of shares of Common Stock beneficially owned by such Holder and, if required by the Commission, the natural persons thereof that have voting and dispositive control over the shares. During any periods that the Company is unable to meet its obligations hereunder with respect to the registration of the Registrable Securities solely because any Holder fails to furnish such information within three Trading Days of the Company’s request, any liquidated damages that are accruing at such time as to such Holder only shall be tolled and any Event that may otherwise occur solely because of such delay shall be suspended as to such Holder only, until such information is delivered to the Company.</w:t>
      </w:r>
    </w:p>
    <w:p>
      <w:pPr>
        <w:spacing w:after="0" w:line="200" w:lineRule="exact"/>
        <w:rPr>
          <w:sz w:val="20"/>
          <w:szCs w:val="20"/>
          <w:color w:val="auto"/>
        </w:rPr>
      </w:pPr>
    </w:p>
    <w:p>
      <w:pPr>
        <w:spacing w:after="0" w:line="20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20"/>
          </w:cols>
          <w:pgMar w:left="1300" w:top="904" w:right="379" w:bottom="1440" w:gutter="0" w:footer="0" w:header="0"/>
        </w:sectPr>
      </w:pPr>
    </w:p>
    <w:bookmarkStart w:id="108" w:name="page109"/>
    <w:bookmarkEnd w:id="108"/>
    <w:p>
      <w:pPr>
        <w:ind w:left="-20" w:firstLine="656"/>
        <w:spacing w:after="0" w:line="252" w:lineRule="auto"/>
        <w:tabs>
          <w:tab w:leader="none" w:pos="808"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All fees and expenses incident to the performance of or compliance with, this Agreement by the Company shall be borne by the Company whether or not any Registrable Securities are sold pursuant to a Registration Statement. The fees and expenses referred to in the foregoing sentence shall include, without limitation, (i) all registration and filing fees (including, without limitation, fees and expenses of the Company’s counsel and independent registered public accountants) (A) with respect to filings made with the Commission, (B) with respect to filings required to be made with any Trading Market on which the Common Stock is then listed for trading, and (C) in compliance with applicable state securities or Blue Sky laws reasonably agreed to by the Company in writing (including, without limitation, fees and disbursements of counsel for the Company in connection with Blue Sky qualifications or exemptions of the Registrable Securities), (ii) printing expenses (including, without limitation, expenses of printing certificates for Registrable Securities), (iii) messenger, telephone and delivery expenses, (iv) fees and disbursements of counsel for the Company, (v) Securities Act liability insurance, if the Company so desires such insurance, and (vi) fees and expenses of all other Persons retained by the Company in connection with the consummation of the transactions contemplated by this Agreement. In addition, the Company shall be responsible for all of its internal expenses incurred in connection with the consummation of the transactions contemplated by this Agreement (including, without limitation, all salaries and expenses of its officers and employees performing legal or accounting duties), the expense of any annual audit and the fees and expenses incurred in connection with the listing of the Registrable Securities on any securities exchange as required hereunder. In no event shall the Company be responsible for any broker or similar commissions of any Holder or, except to the extent provided for in the Transaction Documents, any legal fees or other costs of the Holders.</w:t>
      </w:r>
    </w:p>
    <w:p>
      <w:pPr>
        <w:spacing w:after="0" w:line="197" w:lineRule="exact"/>
        <w:rPr>
          <w:rFonts w:ascii="Times New Roman" w:cs="Times New Roman" w:eastAsia="Times New Roman" w:hAnsi="Times New Roman"/>
          <w:sz w:val="18"/>
          <w:szCs w:val="18"/>
          <w:color w:val="auto"/>
        </w:rPr>
      </w:pPr>
    </w:p>
    <w:p>
      <w:pPr>
        <w:ind w:left="820" w:hanging="184"/>
        <w:spacing w:after="0"/>
        <w:tabs>
          <w:tab w:leader="none" w:pos="8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40" w:right="20" w:firstLine="320"/>
        <w:spacing w:after="0" w:line="251" w:lineRule="auto"/>
        <w:tabs>
          <w:tab w:leader="none" w:pos="1208"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the Company</w:t>
      </w:r>
      <w:r>
        <w:rPr>
          <w:rFonts w:ascii="Times New Roman" w:cs="Times New Roman" w:eastAsia="Times New Roman" w:hAnsi="Times New Roman"/>
          <w:sz w:val="18"/>
          <w:szCs w:val="18"/>
          <w:color w:val="auto"/>
        </w:rPr>
        <w:t>. The Company shall, notwithstanding any termination of this Agreement, indemnify and hold harmless each Holder, the officers, directors, members, partners, agents, brokers (including brokers who offer and sell Registrable Securities as principal as a result of a pledge or any failure to perform under a margin call of Common Stock), investment advisors and employees (and any other Persons with a functionally equivalent role of a Person holding such titles, notwithstanding a lack of such title or any other title) of each of them, each Person who controls any such Holder (within the meaning of Section 15 of the Securities Act or Section 20 of the Exchange Act) and the officers, directors, members, stockholders, partners, agents and employees (and any other Persons with a functionally equivalent role of a Person holding such titles, notwithstanding a lack of such title or any other title) of each such controlling Person, to the fullest extent permitted by applicable law, from and against any and all losses, claims, damages, liabilities, costs (including, without limitation, reasonable attorneys’ fees) and expenses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as incurred, arising out of or relating to (1) any untrue or alleged untrue statement of a material fact contained in a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or (2) any violation or alleged violation by the Company of the Securities Act, the Exchange Act or any state securities law, or any rule or regulation thereunder, in connection with the performance of its obligations under this Agreement, except to the extent, but only to the extent, that (i) such untrue statements or omissions are based solely upon information regarding such Holder furnished in writing to the Company by such Holder expressly for use therein, or to the extent that such information relates to such Holder or such Holder’s proposed method of distribution of Registrable Securities and was reviewed and expressly approved in writing by such Holder expressly for use in a Registration Statement, such Prospectus or in any amendment or supplement thereto (it being understood that the Holder has approved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hereto for this purpose) or (ii) in the case of an occurrence of an event of the type specified in Section 3(d)(iii)-(vi), the use by such Holder of an outdated, defective or otherwise unavailable Prospectus after the Company has notified such Holder in writing that the Prospectus is outdated, defective or otherwise unavailable for use by such Holder and prior to the receipt by such Holder of the Advice contemplated in Section 6(d). The Company shall notify the Holders promptly of the institution, threat or assertion of any Proceeding arising from or in connection with the transactions contemplated by this Agreement of which the Company is aware. Such indemnity shall remain in full force and effect regardless of any investigation made by or on behalf of such indemnified person and shall survive the transfer of any Registrable Securities by any of the Holders in accordance with Section 6(h).</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109" w:name="page110"/>
    <w:bookmarkEnd w:id="109"/>
    <w:p>
      <w:pPr>
        <w:ind w:firstLine="320"/>
        <w:spacing w:after="0" w:line="252" w:lineRule="auto"/>
        <w:tabs>
          <w:tab w:leader="none" w:pos="579"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by Holders</w:t>
      </w:r>
      <w:r>
        <w:rPr>
          <w:rFonts w:ascii="Times New Roman" w:cs="Times New Roman" w:eastAsia="Times New Roman" w:hAnsi="Times New Roman"/>
          <w:sz w:val="18"/>
          <w:szCs w:val="18"/>
          <w:color w:val="auto"/>
        </w:rPr>
        <w:t xml:space="preserve">. Each Holder shall, severally and not jointly, indemnify and hold harmless the Company, its directors, officers, agents and employees, each Person who controls the Company (within the meaning of Section 15 of the Securities Act and Section 20 of the Exchange Act), and the directors, officers, agents or employees of such controlling Persons, to the fullest extent permitted by applicable law, from and against all Losses, as incurred, to the extent arising out of or based solely upon: any untrue or alleged untrue statement of a material fact contained in any Registration Statement, any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(i) to the extent, but only to the extent, that such untrue statement or omission is contained in any information so furnished in writing by such Holder to the Company expressly for inclusion in such Registration Statement or such Prospectus or (ii) to the extent, but only to the extent, that such information relates to such Holder’s information provided in the Selling Stockholder Questionnaire or the proposed method of distribution of Registrable Securities and was reviewed and expressly approved in writing by such Holder expressly for use in a Registration Statement (it being understood that the Holder has approved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hereto for this purpose), such Prospectus or in any amendment or supplement thereto. In no event shall the liability of a selling Holder be greater in amount than the dollar amount of the proceeds (net of all expenses paid by such Holder in connection with any claim relating to this Section 5 and the amount of any damages such Holder has otherwise been required to pay by reason of such untrue statement or omission) received by such Holder upon the sale of the Registrable Securities included in the Registration Statement giving rise to such indemnification obligation.</w:t>
      </w:r>
    </w:p>
    <w:p>
      <w:pPr>
        <w:spacing w:after="0" w:line="194" w:lineRule="exact"/>
        <w:rPr>
          <w:rFonts w:ascii="Times New Roman" w:cs="Times New Roman" w:eastAsia="Times New Roman" w:hAnsi="Times New Roman"/>
          <w:sz w:val="18"/>
          <w:szCs w:val="18"/>
          <w:color w:val="auto"/>
        </w:rPr>
      </w:pPr>
    </w:p>
    <w:p>
      <w:pPr>
        <w:ind w:right="40" w:firstLine="320"/>
        <w:spacing w:after="0" w:line="255" w:lineRule="auto"/>
        <w:tabs>
          <w:tab w:leader="none" w:pos="568"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Conduct of Indemnification Proceedings</w:t>
      </w:r>
      <w:r>
        <w:rPr>
          <w:rFonts w:ascii="Times New Roman" w:cs="Times New Roman" w:eastAsia="Times New Roman" w:hAnsi="Times New Roman"/>
          <w:sz w:val="18"/>
          <w:szCs w:val="18"/>
          <w:color w:val="auto"/>
        </w:rPr>
        <w:t>. If any Proceeding shall be brought or asserted against any Person entitled to indemnity hereunder (an “</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such Indemnified Party shall promptly notify the Person from whom indemnity is sought (the “</w:t>
      </w:r>
      <w:r>
        <w:rPr>
          <w:rFonts w:ascii="Times New Roman" w:cs="Times New Roman" w:eastAsia="Times New Roman" w:hAnsi="Times New Roman"/>
          <w:sz w:val="18"/>
          <w:szCs w:val="18"/>
          <w:u w:val="single" w:color="auto"/>
          <w:color w:val="auto"/>
        </w:rPr>
        <w:t>Indemnifying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in writing, and the Indemnifying Party shall have the right to assume the defense thereof, including the employment of counsel reasonably satisfactory to the Indemnified Party and the payment of all fees and expenses incurred in connection with defense thereof, provided that the failure of any Indemnified Party to give such notice shall not relieve the Indemnifying Party of its obligations or liabilities pursuant to this Agreement, except (and only) to the extent that it shall be finally determined by a court of competent jurisdiction (which determination is not subject to appeal or further review) that such failure shall have materially and adversely prejudiced the Indemnifying Party.</w:t>
      </w:r>
    </w:p>
    <w:p>
      <w:pPr>
        <w:spacing w:after="0" w:line="18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An Indemnified Party shall have the right to employ separate counsel in any such Proceeding and to participate in the defense thereof, but the fees and expenses of such counsel shall be at the expense of such Indemnified Party or Parties unless: (1) the Indemnifying Party has agreed in writing to pay such fees and expenses, (2) the Indemnifying Party shall have failed promptly to assume the defense of such Proceeding and to employ counsel reasonably satisfactory to such Indemnified Party in any such Proceeding, or (3) the named parties to any such Proceeding (including any impleaded parties) include both such Indemnified Party and the Indemnifying Party, and counsel to the Indemnified Party shall reasonably believe that a material conflict of interest is likely to exist if the same counsel were to represent such Indemnified Party and the Indemnifying Party (in which case, if such Indemnified Party notifies the Indemnifying Party in writing that it elects to employ separate counsel at the expense of the Indemnifying Party, the Indemnifying Party shall not have the right to assume the defense thereof and the reasonable fees and expenses of no more than one separate counsel shall be at the expense of the Indemnifying Party). The Indemnifying Party shall not be liable for any settlement of any such Proceeding effected without its written consent, which consent shall not be unreasonably withheld or delayed. No Indemnifying Party shall, without the prior written consent of the Indemnified Party, effect any settlement of any pending Proceeding in respect of which any Indemnified Party is a party, unless such settlement includes an unconditional release of such Indemnified Party from all liability on claims that are the subject matter of such Proceeding.</w:t>
      </w:r>
    </w:p>
    <w:p>
      <w:pPr>
        <w:spacing w:after="0" w:line="200" w:lineRule="exact"/>
        <w:rPr>
          <w:sz w:val="20"/>
          <w:szCs w:val="20"/>
          <w:color w:val="auto"/>
        </w:rPr>
      </w:pPr>
    </w:p>
    <w:p>
      <w:pPr>
        <w:spacing w:after="0" w:line="20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904" w:right="359" w:bottom="1440" w:gutter="0" w:footer="0" w:header="0"/>
        </w:sectPr>
      </w:pPr>
    </w:p>
    <w:bookmarkStart w:id="110" w:name="page111"/>
    <w:bookmarkEnd w:id="110"/>
    <w:p>
      <w:pPr>
        <w:ind w:firstLine="324"/>
        <w:spacing w:after="0" w:line="256" w:lineRule="auto"/>
        <w:rPr>
          <w:sz w:val="20"/>
          <w:szCs w:val="20"/>
          <w:color w:val="auto"/>
        </w:rPr>
      </w:pPr>
      <w:r>
        <w:rPr>
          <w:rFonts w:ascii="Times New Roman" w:cs="Times New Roman" w:eastAsia="Times New Roman" w:hAnsi="Times New Roman"/>
          <w:sz w:val="18"/>
          <w:szCs w:val="18"/>
          <w:color w:val="auto"/>
        </w:rPr>
        <w:t>Subject to the terms of this Agreement, all reasonable fees and expenses of the Indemnified Party (including reasonable fees and expenses to the extent incurred in connection with investigating or preparing to defend such Proceeding in a manner not inconsistent with this Section) shall be paid to the Indemnified Party, as incurred, within ten Trading Days of written notice thereof to the Indemnifying Party, provided that the Indemnified Party shall promptly reimburse the Indemnifying Party for that portion of such fees and expenses applicable to such actions for which such Indemnified Party is finally determined by a court of competent jurisdiction (which determination is not subject to appeal or further review) not to be entitled to indemnification hereunder.</w:t>
      </w:r>
    </w:p>
    <w:p>
      <w:pPr>
        <w:spacing w:after="0" w:line="187" w:lineRule="exact"/>
        <w:rPr>
          <w:sz w:val="20"/>
          <w:szCs w:val="20"/>
          <w:color w:val="auto"/>
        </w:rPr>
      </w:pPr>
    </w:p>
    <w:p>
      <w:pPr>
        <w:ind w:firstLine="320"/>
        <w:spacing w:after="0" w:line="253" w:lineRule="auto"/>
        <w:tabs>
          <w:tab w:leader="none" w:pos="579"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If the indemnification under Section 5(a) or 5(b) is unavailable to an Indemnified Party or insufficient to hold an Indemnified Party harmless for any Losses, then each Indemnifying Party shall contribute to the amount paid or payable by such Indemnified Party, in such proportion as is appropriate to reflect the relative fault of the Indemnifying Party and Indemnified Party in connection with the actions, statements or omissions that resulted in such Losses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The amount paid or payable by a party as a result of any Losses shall be deemed to include, subject to the limitations set forth in this Agreement, any reasonable attorneys’ or other fees or expenses incurred by such party in connection with any Proceeding to the extent such party would have been indemnified for such fees or expenses if the indemnification provided for in this Section was available to such party in accordance with its terms.</w:t>
      </w:r>
    </w:p>
    <w:p>
      <w:pPr>
        <w:spacing w:after="0" w:line="192" w:lineRule="exact"/>
        <w:rPr>
          <w:sz w:val="20"/>
          <w:szCs w:val="20"/>
          <w:color w:val="auto"/>
        </w:rPr>
      </w:pPr>
    </w:p>
    <w:p>
      <w:pPr>
        <w:ind w:right="260" w:firstLine="324"/>
        <w:spacing w:after="0" w:line="256" w:lineRule="auto"/>
        <w:rPr>
          <w:sz w:val="20"/>
          <w:szCs w:val="20"/>
          <w:color w:val="auto"/>
        </w:rPr>
      </w:pPr>
      <w:r>
        <w:rPr>
          <w:rFonts w:ascii="Times New Roman" w:cs="Times New Roman" w:eastAsia="Times New Roman" w:hAnsi="Times New Roman"/>
          <w:sz w:val="18"/>
          <w:szCs w:val="18"/>
          <w:color w:val="auto"/>
        </w:rPr>
        <w:t>The parties hereto agree that it would not be just and equitable if contribution pursuant to this Section 5(d) were determined by pro rata allocation or by any other method of allocation that does not take into account the equitable considerations referred to in the immediately preceding paragraph. In no event shall the contribution obligation of a Holder of Registrable Securities be greater in amount than the dollar amount of the proceeds (net of all expenses paid by such Holder in connection with any claim relating to this Section 5 and the amount of any damages such Holder has otherwise been required to pay by reason of such untrue or alleged untrue statement or omission or alleged omission) received by it upon the sale of the Registrable Securities giving rise to such contribution obligation.</w:t>
      </w:r>
    </w:p>
    <w:p>
      <w:pPr>
        <w:spacing w:after="0" w:line="200" w:lineRule="exact"/>
        <w:rPr>
          <w:sz w:val="20"/>
          <w:szCs w:val="20"/>
          <w:color w:val="auto"/>
        </w:rPr>
      </w:pPr>
    </w:p>
    <w:p>
      <w:pPr>
        <w:spacing w:after="0" w:line="20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60"/>
          </w:cols>
          <w:pgMar w:left="980" w:top="904" w:right="359" w:bottom="1440" w:gutter="0" w:footer="0" w:header="0"/>
        </w:sectPr>
      </w:pPr>
    </w:p>
    <w:bookmarkStart w:id="111" w:name="page112"/>
    <w:bookmarkEnd w:id="111"/>
    <w:p>
      <w:pPr>
        <w:ind w:left="4" w:right="60" w:firstLine="324"/>
        <w:spacing w:after="0" w:line="282" w:lineRule="auto"/>
        <w:rPr>
          <w:sz w:val="20"/>
          <w:szCs w:val="20"/>
          <w:color w:val="auto"/>
        </w:rPr>
      </w:pPr>
      <w:r>
        <w:rPr>
          <w:rFonts w:ascii="Times New Roman" w:cs="Times New Roman" w:eastAsia="Times New Roman" w:hAnsi="Times New Roman"/>
          <w:sz w:val="18"/>
          <w:szCs w:val="18"/>
          <w:color w:val="auto"/>
        </w:rPr>
        <w:t>The indemnity and contribution agreements contained in this Section are in addition to any liability that the Indemnifying Parties may have to the Indemnified Parties.</w:t>
      </w:r>
    </w:p>
    <w:p>
      <w:pPr>
        <w:spacing w:after="0" w:line="162" w:lineRule="exact"/>
        <w:rPr>
          <w:sz w:val="20"/>
          <w:szCs w:val="20"/>
          <w:color w:val="auto"/>
        </w:rPr>
      </w:pPr>
    </w:p>
    <w:p>
      <w:pPr>
        <w:ind w:left="224" w:hanging="224"/>
        <w:spacing w:after="0"/>
        <w:tabs>
          <w:tab w:leader="none" w:pos="224"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100" w:firstLine="320"/>
        <w:spacing w:after="0" w:line="256" w:lineRule="auto"/>
        <w:tabs>
          <w:tab w:leader="none" w:pos="572"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the event of a breach by the Company or by a Holder of any of their respective obligations under this Agreement, each Holder or the Company, as the case may be, in addition to being entitled to exercise all rights granted by law and under this Agreement, including recovery of damages, shall be entitled to specific performance of its rights under this Agreement. Each of the Company and each Holder agrees that monetary damages would not provide adequate compensation for any losses incurred by reason of a breach by it of any of the provisions of this Agreement and hereby further agrees that, in the event of any action for specific performance in respect of such breach, it shall not assert or shall waive the defense that a remedy at law would be adequate.</w:t>
      </w:r>
    </w:p>
    <w:p>
      <w:pPr>
        <w:spacing w:after="0" w:line="187" w:lineRule="exact"/>
        <w:rPr>
          <w:rFonts w:ascii="Times New Roman" w:cs="Times New Roman" w:eastAsia="Times New Roman" w:hAnsi="Times New Roman"/>
          <w:sz w:val="18"/>
          <w:szCs w:val="18"/>
          <w:color w:val="auto"/>
        </w:rPr>
      </w:pPr>
    </w:p>
    <w:p>
      <w:pPr>
        <w:ind w:left="4" w:firstLine="320"/>
        <w:spacing w:after="0" w:line="255" w:lineRule="auto"/>
        <w:tabs>
          <w:tab w:leader="none" w:pos="583"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Piggyback on Registrations; Prohibition on Filing Other Registration Statements</w:t>
      </w:r>
      <w:r>
        <w:rPr>
          <w:rFonts w:ascii="Times New Roman" w:cs="Times New Roman" w:eastAsia="Times New Roman" w:hAnsi="Times New Roman"/>
          <w:sz w:val="18"/>
          <w:szCs w:val="18"/>
          <w:color w:val="auto"/>
        </w:rPr>
        <w:t>. Except for the shares of Common Stock issuable upon exercise of the warrants issued to the Placement Agent in the transactions contemplated by the Purchase Agreement (if any), neither the Company nor any of its security holders (other than the Holders in such capacity pursuant hereto) may include securities of the Company in any Registration Statements other than the Registrable Securities. The Company shall not file any other registration statements until all Registrable Securities are registered pursuant to a Registration Statement that is declared effective by the Commission, provided that this Section 6(b) shall not prohibit the Company from filing amendments to registration statements filed prior to the date of this Agreement so long as no new securities are registered on any such existing registration statements.</w:t>
      </w:r>
    </w:p>
    <w:p>
      <w:pPr>
        <w:spacing w:after="0" w:line="188" w:lineRule="exact"/>
        <w:rPr>
          <w:rFonts w:ascii="Times New Roman" w:cs="Times New Roman" w:eastAsia="Times New Roman" w:hAnsi="Times New Roman"/>
          <w:sz w:val="18"/>
          <w:szCs w:val="18"/>
          <w:color w:val="auto"/>
        </w:rPr>
      </w:pPr>
    </w:p>
    <w:p>
      <w:pPr>
        <w:ind w:left="564" w:hanging="240"/>
        <w:spacing w:after="0"/>
        <w:tabs>
          <w:tab w:leader="none" w:pos="564"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00" w:lineRule="exact"/>
        <w:rPr>
          <w:sz w:val="20"/>
          <w:szCs w:val="20"/>
          <w:color w:val="auto"/>
        </w:rPr>
      </w:pPr>
    </w:p>
    <w:p>
      <w:pPr>
        <w:spacing w:after="0" w:line="241"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12" w:name="page113"/>
    <w:bookmarkEnd w:id="112"/>
    <w:p>
      <w:pPr>
        <w:ind w:left="-320" w:right="40" w:firstLine="320"/>
        <w:spacing w:after="0" w:line="256" w:lineRule="auto"/>
        <w:tabs>
          <w:tab w:leader="none" w:pos="259"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Discontinued Disposition</w:t>
      </w:r>
      <w:r>
        <w:rPr>
          <w:rFonts w:ascii="Times New Roman" w:cs="Times New Roman" w:eastAsia="Times New Roman" w:hAnsi="Times New Roman"/>
          <w:sz w:val="18"/>
          <w:szCs w:val="18"/>
          <w:color w:val="auto"/>
        </w:rPr>
        <w:t>. By its acquisition of Registrable Securities, each Holder agrees that, upon receipt of a notice from the Company of the occurrence of any event of the kind described in Section 3(d)(iii) through (vi), such Holder will forthwith discontinue disposition of such Registrable Securities under a Registration Statement until it is advised in writing (the “</w:t>
      </w:r>
      <w:r>
        <w:rPr>
          <w:rFonts w:ascii="Times New Roman" w:cs="Times New Roman" w:eastAsia="Times New Roman" w:hAnsi="Times New Roman"/>
          <w:sz w:val="18"/>
          <w:szCs w:val="18"/>
          <w:u w:val="single" w:color="auto"/>
          <w:color w:val="auto"/>
        </w:rPr>
        <w:t>Advice</w:t>
      </w:r>
      <w:r>
        <w:rPr>
          <w:rFonts w:ascii="Times New Roman" w:cs="Times New Roman" w:eastAsia="Times New Roman" w:hAnsi="Times New Roman"/>
          <w:sz w:val="18"/>
          <w:szCs w:val="18"/>
          <w:color w:val="auto"/>
        </w:rPr>
        <w:t>”) by the Company that the use of the applicable Prospectus (as it may have been supplemented or amended) may be resumed. The Company will use its best efforts to ensure that the use of the Prospectus may be resumed as promptly as is practicable. The Company agrees and acknowledges that any periods during which the Holder is required to discontinue the disposition of the Registrable Securities hereunder shall be subject to the provisions of Section 2(d).</w:t>
      </w:r>
    </w:p>
    <w:p>
      <w:pPr>
        <w:spacing w:after="0" w:line="187" w:lineRule="exact"/>
        <w:rPr>
          <w:rFonts w:ascii="Times New Roman" w:cs="Times New Roman" w:eastAsia="Times New Roman" w:hAnsi="Times New Roman"/>
          <w:sz w:val="18"/>
          <w:szCs w:val="18"/>
          <w:color w:val="auto"/>
        </w:rPr>
      </w:pPr>
    </w:p>
    <w:p>
      <w:pPr>
        <w:ind w:left="-320" w:firstLine="320"/>
        <w:spacing w:after="0" w:line="252" w:lineRule="auto"/>
        <w:tabs>
          <w:tab w:leader="none" w:pos="248"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xml:space="preserve">. The provisions of this Agreement, including the provisions of this sentence, may not be amended, modified or supplemented, and waivers or consents to departures from the provisions hereof may not be given, unless the same shall be in writing and signed by the Company and the Holders of 50.1% or more of the then outstanding Registrable Securities (for purposes of clarification, this includes any Registrable Securities issuable upon exercise or conversion of any Security), provided that, if any amendment, modification or waiver disproportionately and adversely impacts a Holder (or group of Holders), the consent of such disproportionately impacted Holder (or group of Holders) shall be required. If a Registration Statement does not register all of the Registrable Securities pursuant to a waiver or amendment done in compliance with the previous sentence, then the number of Registrable Securities to be registered for each Holder shall be reduced pro rata among all Holders and each Holder shall have the right to designate which of its Registrable Securities shall be omitted from such Registration Statement. Notwithstanding the foregoing, a waiver or consent to depart from the provisions hereof with respect to a matter that relates exclusively to the rights of a Holder or some Holders and that does not directly or indirectly affect the rights of other Holders may be given only by such Holder or Holders of all of the Registrable Securities to which such waiver or consent relates;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provisions of this sentence may not be amended, modified, or supplemented except in accordance with the provisions of the first sentence of this Section 6(e). No consideration shall be offered or paid to any Person to amend or consent to a waiver or modification of any provision of this Agreement unless the same consideration also is offered to all of the parties to this Agreement.</w:t>
      </w:r>
    </w:p>
    <w:p>
      <w:pPr>
        <w:spacing w:after="0" w:line="197" w:lineRule="exact"/>
        <w:rPr>
          <w:rFonts w:ascii="Times New Roman" w:cs="Times New Roman" w:eastAsia="Times New Roman" w:hAnsi="Times New Roman"/>
          <w:sz w:val="18"/>
          <w:szCs w:val="18"/>
          <w:color w:val="auto"/>
        </w:rPr>
      </w:pPr>
    </w:p>
    <w:p>
      <w:pPr>
        <w:ind w:left="-320" w:right="60" w:firstLine="320"/>
        <w:spacing w:after="0" w:line="282" w:lineRule="auto"/>
        <w:tabs>
          <w:tab w:leader="none" w:pos="229"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delivered as set forth in the Purchase Agreement.</w:t>
      </w:r>
    </w:p>
    <w:p>
      <w:pPr>
        <w:spacing w:after="0" w:line="161" w:lineRule="exact"/>
        <w:rPr>
          <w:rFonts w:ascii="Times New Roman" w:cs="Times New Roman" w:eastAsia="Times New Roman" w:hAnsi="Times New Roman"/>
          <w:sz w:val="18"/>
          <w:szCs w:val="18"/>
          <w:color w:val="auto"/>
        </w:rPr>
      </w:pPr>
    </w:p>
    <w:p>
      <w:pPr>
        <w:ind w:left="-320" w:right="100" w:firstLine="320"/>
        <w:spacing w:after="0" w:line="261" w:lineRule="auto"/>
        <w:tabs>
          <w:tab w:leader="none" w:pos="259"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inure to the benefit of and be binding upon the successors and permitted assigns of each of the parties and shall inure to the benefit of each Holder. The Company may not assign (except by merger) its rights or obligations hereunder without the prior written consent of all of the Holders of the then outstanding Registrable Securities. Each Holder may assign their respective rights hereunder in the manner and to the Persons as permitted under Section 5.7 of the Purchase Agreement.</w:t>
      </w:r>
    </w:p>
    <w:p>
      <w:pPr>
        <w:spacing w:after="0" w:line="39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904" w:right="339" w:bottom="1440" w:gutter="0" w:footer="0" w:header="0"/>
        </w:sectPr>
      </w:pPr>
    </w:p>
    <w:bookmarkStart w:id="113" w:name="page114"/>
    <w:bookmarkEnd w:id="113"/>
    <w:p>
      <w:pPr>
        <w:ind w:left="-320" w:firstLine="320"/>
        <w:spacing w:after="0" w:line="258" w:lineRule="auto"/>
        <w:tabs>
          <w:tab w:leader="none" w:pos="259"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Inconsistent Agreements</w:t>
      </w:r>
      <w:r>
        <w:rPr>
          <w:rFonts w:ascii="Times New Roman" w:cs="Times New Roman" w:eastAsia="Times New Roman" w:hAnsi="Times New Roman"/>
          <w:sz w:val="18"/>
          <w:szCs w:val="18"/>
          <w:color w:val="auto"/>
        </w:rPr>
        <w:t>. Neither the Company nor any of its Subsidiaries has entered, as of the date hereof, nor shall the Company or any of its Subsidiaries, on or after the date of this Agreement, enter into any agreement with respect to its securities, that would have the effect of impairing the rights granted to the Holders in this Agreement or otherwise conflicts with the provisions hereof. Neither the Company nor any of its Subsidiaries has previously entered into any agreement granting any registration rights with respect to any of its securities to any Person that have not been satisfied in full.</w:t>
      </w:r>
    </w:p>
    <w:p>
      <w:pPr>
        <w:spacing w:after="0" w:line="183" w:lineRule="exact"/>
        <w:rPr>
          <w:rFonts w:ascii="Times New Roman" w:cs="Times New Roman" w:eastAsia="Times New Roman" w:hAnsi="Times New Roman"/>
          <w:sz w:val="18"/>
          <w:szCs w:val="18"/>
          <w:color w:val="auto"/>
        </w:rPr>
      </w:pPr>
    </w:p>
    <w:p>
      <w:pPr>
        <w:ind w:left="-320" w:right="60" w:firstLine="320"/>
        <w:spacing w:after="0" w:line="256" w:lineRule="auto"/>
        <w:tabs>
          <w:tab w:leader="none" w:pos="219"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 and Counterparts</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e-mail delivery of a “.pdf” format data file or any electronic signature complying with the U.S. federal ESIGN Act of 2000 (e.g., www.docusign.com), such signature shall create a valid and binding obligation of the party executing (or on whose behalf such signature is executed) with the same force and effect as if such “.pdf” signature page were an original thereof.</w:t>
      </w:r>
    </w:p>
    <w:p>
      <w:pPr>
        <w:spacing w:after="0" w:line="187" w:lineRule="exact"/>
        <w:rPr>
          <w:rFonts w:ascii="Times New Roman" w:cs="Times New Roman" w:eastAsia="Times New Roman" w:hAnsi="Times New Roman"/>
          <w:sz w:val="18"/>
          <w:szCs w:val="18"/>
          <w:color w:val="auto"/>
        </w:rPr>
      </w:pPr>
    </w:p>
    <w:p>
      <w:pPr>
        <w:ind w:left="-320" w:right="60" w:firstLine="320"/>
        <w:spacing w:after="0" w:line="282" w:lineRule="auto"/>
        <w:tabs>
          <w:tab w:leader="none" w:pos="219"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this Agreement shall be determined in accordance with the provisions of the Purchase Agreement.</w:t>
      </w:r>
    </w:p>
    <w:p>
      <w:pPr>
        <w:spacing w:after="0" w:line="161" w:lineRule="exact"/>
        <w:rPr>
          <w:rFonts w:ascii="Times New Roman" w:cs="Times New Roman" w:eastAsia="Times New Roman" w:hAnsi="Times New Roman"/>
          <w:sz w:val="18"/>
          <w:szCs w:val="18"/>
          <w:color w:val="auto"/>
        </w:rPr>
      </w:pPr>
    </w:p>
    <w:p>
      <w:pPr>
        <w:ind w:left="260" w:hanging="260"/>
        <w:spacing w:after="0"/>
        <w:tabs>
          <w:tab w:leader="none" w:pos="2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Cumulative Remedies</w:t>
      </w:r>
      <w:r>
        <w:rPr>
          <w:rFonts w:ascii="Times New Roman" w:cs="Times New Roman" w:eastAsia="Times New Roman" w:hAnsi="Times New Roman"/>
          <w:sz w:val="18"/>
          <w:szCs w:val="18"/>
          <w:color w:val="auto"/>
        </w:rPr>
        <w:t>. The remedies provided herein are cumulative and not exclusive of any other remedies provided by law.</w:t>
      </w:r>
    </w:p>
    <w:p>
      <w:pPr>
        <w:spacing w:after="0" w:line="225" w:lineRule="exact"/>
        <w:rPr>
          <w:rFonts w:ascii="Times New Roman" w:cs="Times New Roman" w:eastAsia="Times New Roman" w:hAnsi="Times New Roman"/>
          <w:sz w:val="18"/>
          <w:szCs w:val="18"/>
          <w:color w:val="auto"/>
        </w:rPr>
      </w:pPr>
    </w:p>
    <w:p>
      <w:pPr>
        <w:ind w:left="-320" w:right="240" w:firstLine="320"/>
        <w:spacing w:after="0" w:line="256" w:lineRule="auto"/>
        <w:tabs>
          <w:tab w:leader="none" w:pos="219"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7" w:lineRule="exact"/>
        <w:rPr>
          <w:rFonts w:ascii="Times New Roman" w:cs="Times New Roman" w:eastAsia="Times New Roman" w:hAnsi="Times New Roman"/>
          <w:sz w:val="18"/>
          <w:szCs w:val="18"/>
          <w:color w:val="auto"/>
        </w:rPr>
      </w:pPr>
    </w:p>
    <w:p>
      <w:pPr>
        <w:ind w:left="-320" w:right="40" w:firstLine="320"/>
        <w:spacing w:after="0" w:line="282" w:lineRule="auto"/>
        <w:tabs>
          <w:tab w:leader="none" w:pos="309"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in this Agreement are for convenience only, do not constitute a part of the Agreement and shall not be deemed to limit or affect any of the provisions hereof.</w:t>
      </w:r>
    </w:p>
    <w:p>
      <w:pPr>
        <w:spacing w:after="0" w:line="161" w:lineRule="exact"/>
        <w:rPr>
          <w:rFonts w:ascii="Times New Roman" w:cs="Times New Roman" w:eastAsia="Times New Roman" w:hAnsi="Times New Roman"/>
          <w:sz w:val="18"/>
          <w:szCs w:val="18"/>
          <w:color w:val="auto"/>
        </w:rPr>
      </w:pPr>
    </w:p>
    <w:p>
      <w:pPr>
        <w:ind w:left="-320" w:right="20" w:firstLine="320"/>
        <w:spacing w:after="0" w:line="253" w:lineRule="auto"/>
        <w:tabs>
          <w:tab w:leader="none" w:pos="259"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Nature of Holders’ Obligations and Rights</w:t>
      </w:r>
      <w:r>
        <w:rPr>
          <w:rFonts w:ascii="Times New Roman" w:cs="Times New Roman" w:eastAsia="Times New Roman" w:hAnsi="Times New Roman"/>
          <w:sz w:val="18"/>
          <w:szCs w:val="18"/>
          <w:color w:val="auto"/>
        </w:rPr>
        <w:t>. The obligations of each Holder hereunder are several and not joint with the obligations of any other Holder hereunder, and no Holder shall be responsible in any way for the performance of the obligations of any other Holder hereunder. Nothing contained herein or in any other agreement or document delivered at any closing, and no action taken by any Holder pursuant hereto or thereto, shall be deemed to constitute the Holders as a partnership, an association, a joint venture or any other kind of group or entity, or create a presumption that the Holders are in any way acting in concert or as a group or entity with respect to such obligations or the transactions contemplated by this Agreement or any other matters, and the Company acknowledges that the Holders are not acting in concert or as a group, and the Company shall not assert any such claim, with respect to such obligations or transactions. Each Holder shall be entitled to protect and enforce its rights, including without limitation the rights arising out of this Agreement, and it shall not be necessary for any other Holder to be joined as an additional party in any proceeding for such purpose. The use of a single agreement with respect to the obligations of the Company contained was solely in the control of the Company, not the action or decision of any Holder, and was done solely for the convenience of the Company and not because it was required or requested to do so by any Holder. It is expressly understood and agreed that each provision contained in this Agreement is between the Company and a Holder, solely, and not between the Company and the Holders collectively and not between and among Holders.</w:t>
      </w:r>
    </w:p>
    <w:p>
      <w:pPr>
        <w:spacing w:after="0" w:line="18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00" w:lineRule="exact"/>
        <w:rPr>
          <w:sz w:val="20"/>
          <w:szCs w:val="20"/>
          <w:color w:val="auto"/>
        </w:rPr>
      </w:pPr>
    </w:p>
    <w:p>
      <w:pPr>
        <w:spacing w:after="0" w:line="24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40"/>
          </w:cols>
          <w:pgMar w:left="1300" w:top="904" w:right="3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color w:val="auto"/>
        </w:rPr>
        <w:t>IN WITNESS WHEREOF, the parties have executed this Registration Rights Agreement as of the date first written above.</w:t>
      </w:r>
    </w:p>
    <w:p>
      <w:pPr>
        <w:spacing w:after="0" w:line="23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b w:val="1"/>
          <w:bCs w:val="1"/>
          <w:color w:val="auto"/>
        </w:rPr>
        <w:t>BLUEJAY DIAGNOSTICS, INC.</w:t>
      </w:r>
    </w:p>
    <w:p>
      <w:pPr>
        <w:spacing w:after="0" w:line="229"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17145</wp:posOffset>
            </wp:positionV>
            <wp:extent cx="255460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[SIGNATURE PAGE OF HOLDERS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445770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904" w:right="1440" w:bottom="1440" w:gutter="0" w:footer="0" w:header="0"/>
        </w:sectPr>
      </w:pPr>
    </w:p>
    <w:bookmarkStart w:id="115" w:name="page116"/>
    <w:bookmarkEnd w:id="115"/>
    <w:p>
      <w:pPr>
        <w:jc w:val="right"/>
        <w:ind w:right="2539"/>
        <w:spacing w:after="0"/>
        <w:rPr>
          <w:sz w:val="20"/>
          <w:szCs w:val="20"/>
          <w:color w:val="auto"/>
        </w:rPr>
      </w:pPr>
      <w:r>
        <w:rPr>
          <w:rFonts w:ascii="Times New Roman" w:cs="Times New Roman" w:eastAsia="Times New Roman" w:hAnsi="Times New Roman"/>
          <w:sz w:val="18"/>
          <w:szCs w:val="18"/>
          <w:color w:val="auto"/>
        </w:rPr>
        <w:t>[SIGNATURE PAGE OF HOLDERS TO BJDX RRA]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Holder: __________________________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Holder</w:t>
      </w:r>
      <w:r>
        <w:rPr>
          <w:rFonts w:ascii="Times New Roman" w:cs="Times New Roman" w:eastAsia="Times New Roman" w:hAnsi="Times New Roman"/>
          <w:sz w:val="18"/>
          <w:szCs w:val="18"/>
          <w:color w:val="auto"/>
        </w:rPr>
        <w:t>: __________________________</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w:t>
      </w:r>
    </w:p>
    <w:p>
      <w:pPr>
        <w:spacing w:after="0" w:line="225"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8"/>
          <w:szCs w:val="18"/>
          <w:color w:val="auto"/>
        </w:rPr>
        <w:t>[SIGNATURE PAGES CONTINUE]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Annex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Plan of Distribution</w:t>
      </w:r>
    </w:p>
    <w:p>
      <w:pPr>
        <w:spacing w:after="0" w:line="225"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Each Selling Stockholder (the “</w:t>
      </w:r>
      <w:r>
        <w:rPr>
          <w:rFonts w:ascii="Times New Roman" w:cs="Times New Roman" w:eastAsia="Times New Roman" w:hAnsi="Times New Roman"/>
          <w:sz w:val="18"/>
          <w:szCs w:val="18"/>
          <w:u w:val="single" w:color="auto"/>
          <w:color w:val="auto"/>
        </w:rPr>
        <w:t>Selling Stockholders</w:t>
      </w:r>
      <w:r>
        <w:rPr>
          <w:rFonts w:ascii="Times New Roman" w:cs="Times New Roman" w:eastAsia="Times New Roman" w:hAnsi="Times New Roman"/>
          <w:sz w:val="18"/>
          <w:szCs w:val="18"/>
          <w:color w:val="auto"/>
        </w:rPr>
        <w:t>”) of the securities and any of their pledgees, assignees and successors-in-interest may, from time to time, sell any or all of their securities covered hereby on the principal Trading Market or any other stock exchange, market or trading facility on which the securities are traded or in private transactions. These sales may be at fixed or negotiated prices. A Selling Stockholder may use any one or more of the following methods when selling securities:</w:t>
      </w:r>
    </w:p>
    <w:p>
      <w:pPr>
        <w:spacing w:after="0" w:line="180" w:lineRule="exact"/>
        <w:rPr>
          <w:sz w:val="20"/>
          <w:szCs w:val="20"/>
          <w:color w:val="auto"/>
        </w:rPr>
      </w:pPr>
    </w:p>
    <w:p>
      <w:pPr>
        <w:ind w:left="980" w:hanging="324"/>
        <w:spacing w:after="0"/>
        <w:tabs>
          <w:tab w:leader="none" w:pos="9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225" w:lineRule="exact"/>
        <w:rPr>
          <w:rFonts w:ascii="Times New Roman" w:cs="Times New Roman" w:eastAsia="Times New Roman" w:hAnsi="Times New Roman"/>
          <w:sz w:val="18"/>
          <w:szCs w:val="18"/>
          <w:color w:val="auto"/>
        </w:rPr>
      </w:pPr>
    </w:p>
    <w:p>
      <w:pPr>
        <w:ind w:left="980" w:right="660" w:hanging="324"/>
        <w:spacing w:after="0" w:line="282" w:lineRule="auto"/>
        <w:tabs>
          <w:tab w:leader="none" w:pos="9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securities as agent but may position and resell a portion of the block as principal to facilitate the transaction;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w:t>
      </w:r>
    </w:p>
    <w:p>
      <w:pPr>
        <w:spacing w:after="0" w:line="225" w:lineRule="exact"/>
        <w:rPr>
          <w:rFonts w:ascii="Times New Roman" w:cs="Times New Roman" w:eastAsia="Times New Roman" w:hAnsi="Times New Roman"/>
          <w:sz w:val="18"/>
          <w:szCs w:val="18"/>
          <w:color w:val="auto"/>
        </w:rPr>
      </w:pPr>
    </w:p>
    <w:p>
      <w:pPr>
        <w:ind w:left="980" w:right="380" w:hanging="324"/>
        <w:spacing w:after="0" w:line="282" w:lineRule="auto"/>
        <w:tabs>
          <w:tab w:leader="none" w:pos="9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broker-dealers that agree with the Selling Stockholders to sell a specified number of such securities at a stipulated price per security;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225"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 Selling Stockholders may also sell securities under Rule 144 or any other exemption from registration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if available, rather than under this prospectus.</w:t>
      </w:r>
    </w:p>
    <w:p>
      <w:pPr>
        <w:spacing w:after="0" w:line="16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Broker-dealers engaged by the Selling Stockholders may arrange for other brokers-dealers to participate in sales. Broker-dealers may receive commissions or discounts from the Selling Stockholders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7" w:name="page118"/>
    <w:bookmarkEnd w:id="117"/>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8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Each Selling Stockholder has informed the Company that it does not have any written or oral agreement or understanding, directly or indirectly, with any person to distribute the securities.</w:t>
      </w:r>
    </w:p>
    <w:p>
      <w:pPr>
        <w:spacing w:after="0" w:line="162" w:lineRule="exact"/>
        <w:rPr>
          <w:sz w:val="20"/>
          <w:szCs w:val="20"/>
          <w:color w:val="auto"/>
        </w:rPr>
      </w:pPr>
    </w:p>
    <w:p>
      <w:pPr>
        <w:ind w:right="260" w:firstLine="648"/>
        <w:spacing w:after="0" w:line="312" w:lineRule="auto"/>
        <w:rPr>
          <w:sz w:val="20"/>
          <w:szCs w:val="20"/>
          <w:color w:val="auto"/>
        </w:rPr>
      </w:pPr>
      <w:r>
        <w:rPr>
          <w:rFonts w:ascii="Times New Roman" w:cs="Times New Roman" w:eastAsia="Times New Roman" w:hAnsi="Times New Roman"/>
          <w:sz w:val="17"/>
          <w:szCs w:val="17"/>
          <w:color w:val="auto"/>
        </w:rPr>
        <w:t>The Company is required to pay certain fees and expenses incurred by the Company incident to the registration of the securities. The Company has agreed to indemnify the Selling Stockholders against certain losses, claims, damages and liabilities, including liabilities under the Securities Act.</w:t>
      </w:r>
    </w:p>
    <w:p>
      <w:pPr>
        <w:spacing w:after="0" w:line="14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agreed to keep this prospectus effective until the earlier of (i) the date on which the securities may be resold by the Selling Stockholders without registration and without regard to any volume or manner-of-sale limitations by reason of Rule 144, without the requirement for the Company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8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Annex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SHAREHOLDERS</w:t>
      </w:r>
    </w:p>
    <w:p>
      <w:pPr>
        <w:spacing w:after="0" w:line="22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The common stock being offered by the selling shareholders are those previously issued to the selling shareholders, and those issuable to the selling shareholders, upon exercise of the warrants. For additional information regarding the issuances of those shares of common stock and warrants, see “Private Placement of Shares of Common Stock and Warrants” above. We are registering the shares of common stock in order to permit the selling shareholders to offer the shares for resale from time to time. Except for the ownership of the shares of common stock and the warrants, the selling shareholders have not had any material relationship with us within the past three years.</w:t>
      </w:r>
    </w:p>
    <w:p>
      <w:pPr>
        <w:spacing w:after="0" w:line="183"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table below lists the selling shareholders and other information regarding the beneficial ownership of the shares of common stock by each of the selling shareholders. The second column lists the number of shares of common stock beneficially owned by each selling shareholder, based on its ownership of the shares of common stock and warrants, as of ________, 2023, assuming exercise of the warrants held by the selling shareholders on that date, without regard to any limitations on exercises.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third column lists the shares of common stock being offered by this prospectus by the selling shareholders.</w:t>
      </w:r>
    </w:p>
    <w:p>
      <w:pPr>
        <w:spacing w:after="0" w:line="225"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In accordance with the terms of a registration rights agreement with the selling shareholders, this prospectus generally covers the resale of the sum of (i) the number of shares of common stock issued to the selling shareholders in the “Private Placement of Shares of Common Stock and Warrants” described above and (ii) the maximum number of shares of common stock issuable upon exercise of the related warrants, determined as if the outstanding warrants were exercised in full as of the trading day immediately preceding the date this registration statement was initially filed with the SEC, each as of the trading day immediately preceding the applicable date of determination and all subject to adjustment as provided in the registration right agreement, without regard to any limitations on the exercise of the warrants. The fourth column assumes the sale of all of the shares offered by the selling shareholders pursuant to this prospectus.</w:t>
      </w:r>
    </w:p>
    <w:p>
      <w:pPr>
        <w:spacing w:after="0" w:line="18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Under the terms of the warrants [and other warrants held by selling shareholders], a selling shareholder may not exercise [the] [any such] warrants to the extent such exercise would cause such selling shareholder, together with its affiliates and attribution parties, to beneficially own a number of shares of common stock which would exceed 4.99% or 9.99%, as applicable, of our then outstanding common stock following such exercise, excluding for purposes of such determination shares of common stock issuable upon exercise of such warrants which have not been exercised. The number of shares in the second and fourth columns do not reflect this limitation. The selling shareholders may sell all, some or none of their shares in this offering. See “Plan of Distribution.”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Maximum Number</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Number of shares of</w:t>
            </w: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of shares of Common</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 of shares of</w:t>
            </w:r>
          </w:p>
        </w:tc>
      </w:tr>
      <w:tr>
        <w:trPr>
          <w:trHeight w:val="216"/>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Stock to be Sold</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r>
      <w:tr>
        <w:trPr>
          <w:trHeight w:val="216"/>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Owned Prior to</w:t>
            </w:r>
          </w:p>
        </w:tc>
        <w:tc>
          <w:tcPr>
            <w:tcW w:w="1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Pursuant to this</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Owned After</w:t>
            </w:r>
          </w:p>
        </w:tc>
      </w:tr>
      <w:tr>
        <w:trPr>
          <w:trHeight w:val="245"/>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Selling Shareholder</w:t>
            </w: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Offering</w:t>
            </w:r>
          </w:p>
        </w:tc>
      </w:tr>
      <w:tr>
        <w:trPr>
          <w:trHeight w:val="216"/>
        </w:trPr>
        <w:tc>
          <w:tcPr>
            <w:tcW w:w="55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Annex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BLUEJAY DIAGNOSTICS,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 Notice and Questionnaire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beneficial owner of common stock (the “</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of Bluejay Diagnostics, Inc., a Delaware corporation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understands that the Company has filed or intends to file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a registration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for the registration and resale under Rule 415 of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Registrable Securities, in accordance with the terms of the Registration Rights Agreement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to which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 is annexed. A copy of the Registration Rights Agreement is available from the Company upon request at the address set forth below.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not otherwise defined herein shall have the meanings ascribed thereto in the Registration Rights Agreement.</w:t>
      </w:r>
    </w:p>
    <w:p>
      <w:pPr>
        <w:spacing w:after="0" w:line="207"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Certain legal consequences arise from being named as a selling stockholder in the Registration Statement and the related prospectus. Accordingly, holders and beneficial owners of Registrable Securities are advised to consult their own securities law counsel regarding the consequences of being named or not being named as a selling stockholder in the Registration Statement and the related prospectus.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undersigned beneficial owner (the “</w:t>
      </w:r>
      <w:r>
        <w:rPr>
          <w:rFonts w:ascii="Times New Roman" w:cs="Times New Roman" w:eastAsia="Times New Roman" w:hAnsi="Times New Roman"/>
          <w:sz w:val="18"/>
          <w:szCs w:val="18"/>
          <w:u w:val="single" w:color="auto"/>
          <w:color w:val="auto"/>
        </w:rPr>
        <w:t>Selling Stockholder</w:t>
      </w:r>
      <w:r>
        <w:rPr>
          <w:rFonts w:ascii="Times New Roman" w:cs="Times New Roman" w:eastAsia="Times New Roman" w:hAnsi="Times New Roman"/>
          <w:sz w:val="18"/>
          <w:szCs w:val="18"/>
          <w:color w:val="auto"/>
        </w:rPr>
        <w:t>”) of Registrable Securities hereby elects to include the Registrable Securities owned by it in the Registration Statement.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0" w:name="page121"/>
    <w:bookmarkEnd w:id="120"/>
    <w:p>
      <w:pPr>
        <w:jc w:val="center"/>
        <w:ind w:right="-59"/>
        <w:spacing w:after="0"/>
        <w:rPr>
          <w:sz w:val="20"/>
          <w:szCs w:val="20"/>
          <w:color w:val="auto"/>
        </w:rPr>
      </w:pPr>
      <w:r>
        <w:rPr>
          <w:rFonts w:ascii="Times New Roman" w:cs="Times New Roman" w:eastAsia="Times New Roman" w:hAnsi="Times New Roman"/>
          <w:sz w:val="18"/>
          <w:szCs w:val="18"/>
          <w:color w:val="auto"/>
        </w:rPr>
        <w:t>The undersigned hereby provides the following information to the Company and represents and warrants that such information is accurate: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QUESTIONNAIRE</w:t>
      </w:r>
    </w:p>
    <w:p>
      <w:pPr>
        <w:spacing w:after="0" w:line="225" w:lineRule="exact"/>
        <w:rPr>
          <w:sz w:val="20"/>
          <w:szCs w:val="20"/>
          <w:color w:val="auto"/>
        </w:rPr>
      </w:pPr>
    </w:p>
    <w:p>
      <w:pPr>
        <w:ind w:left="660" w:hanging="652"/>
        <w:spacing w:after="0"/>
        <w:tabs>
          <w:tab w:leader="none" w:pos="66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w:t>
      </w:r>
    </w:p>
    <w:p>
      <w:pPr>
        <w:spacing w:after="0" w:line="229"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Selling Stockholder</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Registered Holder (if not the same as (a) above) through which Registrable Securities are held: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4" w:lineRule="exact"/>
        <w:rPr>
          <w:rFonts w:ascii="Times New Roman" w:cs="Times New Roman" w:eastAsia="Times New Roman" w:hAnsi="Times New Roman"/>
          <w:sz w:val="18"/>
          <w:szCs w:val="18"/>
          <w:color w:val="auto"/>
        </w:rPr>
      </w:pPr>
    </w:p>
    <w:p>
      <w:pPr>
        <w:ind w:left="1300" w:right="240" w:hanging="644"/>
        <w:spacing w:after="0" w:line="282" w:lineRule="auto"/>
        <w:tabs>
          <w:tab w:leader="none" w:pos="130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Legal Name of Natural Control Person (which means a natural person who directly or indirectly alone or with others has power to vote or dispose of the securities covered by this Questionnaire):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for Notices to Selling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-1539875</wp:posOffset>
            </wp:positionV>
            <wp:extent cx="630936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309360" cy="1714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-974090</wp:posOffset>
            </wp:positionV>
            <wp:extent cx="630936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309360" cy="1714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-271145</wp:posOffset>
            </wp:positionV>
            <wp:extent cx="630936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30936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619760</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465455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17145</wp:posOffset>
            </wp:positionV>
            <wp:extent cx="606044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6044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26035</wp:posOffset>
            </wp:positionV>
            <wp:extent cx="606044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60440" cy="1714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-127635</wp:posOffset>
            </wp:positionV>
            <wp:extent cx="606044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60440" cy="17145"/>
                    </a:xfrm>
                    <a:prstGeom prst="rect">
                      <a:avLst/>
                    </a:prstGeom>
                    <a:noFill/>
                  </pic:spPr>
                </pic:pic>
              </a:graphicData>
            </a:graphic>
          </wp:anchor>
        </w:drawing>
      </w:r>
    </w:p>
    <w:p>
      <w:pPr>
        <w:spacing w:after="0" w:line="242" w:lineRule="exact"/>
        <w:rPr>
          <w:sz w:val="20"/>
          <w:szCs w:val="20"/>
          <w:color w:val="auto"/>
        </w:rPr>
      </w:pPr>
    </w:p>
    <w:p>
      <w:pPr>
        <w:ind w:left="660" w:hanging="652"/>
        <w:spacing w:after="0"/>
        <w:tabs>
          <w:tab w:leader="none" w:pos="66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Broker-Dealer Status:</w:t>
      </w:r>
    </w:p>
    <w:p>
      <w:pPr>
        <w:spacing w:after="0" w:line="229"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you a broker-dealer?</w:t>
      </w:r>
    </w:p>
    <w:p>
      <w:pPr>
        <w:spacing w:after="0" w:line="184" w:lineRule="exact"/>
        <w:rPr>
          <w:sz w:val="20"/>
          <w:szCs w:val="20"/>
          <w:color w:val="auto"/>
        </w:rPr>
      </w:pPr>
    </w:p>
    <w:p>
      <w:pPr>
        <w:jc w:val="center"/>
        <w:ind w:right="-19"/>
        <w:spacing w:after="0" w:line="207" w:lineRule="exact"/>
        <w:tabs>
          <w:tab w:leader="none" w:pos="3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66" w:lineRule="exact"/>
        <w:rPr>
          <w:sz w:val="20"/>
          <w:szCs w:val="20"/>
          <w:color w:val="auto"/>
        </w:rPr>
      </w:pPr>
    </w:p>
    <w:p>
      <w:pPr>
        <w:ind w:left="1300" w:hanging="644"/>
        <w:spacing w:after="0"/>
        <w:tabs>
          <w:tab w:leader="none" w:pos="13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“yes” to Section 3(a), did you receive your Registrable Securities as compensation for investment banking services to the Company?</w:t>
      </w:r>
    </w:p>
    <w:p>
      <w:pPr>
        <w:spacing w:after="0" w:line="184" w:lineRule="exact"/>
        <w:rPr>
          <w:sz w:val="20"/>
          <w:szCs w:val="20"/>
          <w:color w:val="auto"/>
        </w:rPr>
      </w:pPr>
    </w:p>
    <w:p>
      <w:pPr>
        <w:jc w:val="center"/>
        <w:ind w:right="-19"/>
        <w:spacing w:after="0" w:line="207" w:lineRule="exact"/>
        <w:tabs>
          <w:tab w:leader="none" w:pos="3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6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7"/>
          <w:szCs w:val="17"/>
          <w:color w:val="auto"/>
        </w:rPr>
        <w:t>Note:</w:t>
        <w:tab/>
        <w:t>If “no” to Section 3(b), the Commission’s staff has indicated that you should be identified as an underwriter in the Registration Statement.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1" w:name="page122"/>
    <w:bookmarkEnd w:id="121"/>
    <w:p>
      <w:pPr>
        <w:ind w:left="1300" w:hanging="644"/>
        <w:spacing w:after="0"/>
        <w:tabs>
          <w:tab w:leader="none" w:pos="13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you an affiliate of a broker-dealer?</w:t>
      </w:r>
    </w:p>
    <w:p>
      <w:pPr>
        <w:spacing w:after="0" w:line="184" w:lineRule="exact"/>
        <w:rPr>
          <w:sz w:val="20"/>
          <w:szCs w:val="20"/>
          <w:color w:val="auto"/>
        </w:rPr>
      </w:pPr>
    </w:p>
    <w:p>
      <w:pPr>
        <w:jc w:val="center"/>
        <w:ind w:right="-19"/>
        <w:spacing w:after="0" w:line="207" w:lineRule="exact"/>
        <w:tabs>
          <w:tab w:leader="none" w:pos="3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66" w:lineRule="exact"/>
        <w:rPr>
          <w:sz w:val="20"/>
          <w:szCs w:val="20"/>
          <w:color w:val="auto"/>
        </w:rPr>
      </w:pPr>
    </w:p>
    <w:p>
      <w:pPr>
        <w:ind w:left="1300" w:right="80" w:hanging="644"/>
        <w:spacing w:after="0" w:line="266" w:lineRule="auto"/>
        <w:tabs>
          <w:tab w:leader="none" w:pos="13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an affiliate of a broker-dealer, do you certify that you purchased the Registrable Securities in the ordinary course of business, and at the time of the purchase of the Registrable Securities to be resold, you had no agreements or understandings, directly or indirectly, with any person to distribute the Registrable Securities?</w:t>
      </w:r>
    </w:p>
    <w:p>
      <w:pPr>
        <w:spacing w:after="0" w:line="135" w:lineRule="exact"/>
        <w:rPr>
          <w:sz w:val="20"/>
          <w:szCs w:val="20"/>
          <w:color w:val="auto"/>
        </w:rPr>
      </w:pPr>
    </w:p>
    <w:p>
      <w:pPr>
        <w:jc w:val="center"/>
        <w:ind w:right="-19"/>
        <w:spacing w:after="0" w:line="207" w:lineRule="exact"/>
        <w:tabs>
          <w:tab w:leader="none" w:pos="3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6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7"/>
          <w:szCs w:val="17"/>
          <w:color w:val="auto"/>
        </w:rPr>
        <w:t>Note:</w:t>
        <w:tab/>
        <w:t>If “no” to Section 3(d), the Commission’s staff has indicated that you should be identified as an underwriter in the Registration Statement.</w:t>
      </w:r>
    </w:p>
    <w:p>
      <w:pPr>
        <w:spacing w:after="0" w:line="233" w:lineRule="exact"/>
        <w:rPr>
          <w:sz w:val="20"/>
          <w:szCs w:val="20"/>
          <w:color w:val="auto"/>
        </w:rPr>
      </w:pPr>
    </w:p>
    <w:p>
      <w:pPr>
        <w:ind w:left="660" w:hanging="652"/>
        <w:spacing w:after="0"/>
        <w:tabs>
          <w:tab w:leader="none" w:pos="66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Beneficial Ownership of Securities of the Company Owned by the Selling Stockholder.</w:t>
      </w:r>
    </w:p>
    <w:p>
      <w:pPr>
        <w:spacing w:after="0" w:line="227" w:lineRule="exact"/>
        <w:rPr>
          <w:rFonts w:ascii="Times New Roman" w:cs="Times New Roman" w:eastAsia="Times New Roman" w:hAnsi="Times New Roman"/>
          <w:sz w:val="18"/>
          <w:szCs w:val="18"/>
          <w:b w:val="1"/>
          <w:bCs w:val="1"/>
          <w:color w:val="auto"/>
        </w:rPr>
      </w:pPr>
    </w:p>
    <w:p>
      <w:pPr>
        <w:ind w:left="660" w:right="160"/>
        <w:spacing w:after="0" w:line="28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Except as set forth below in this Item 4, the undersigned is not the beneficial or registered owner of any securities of the Company other than the securities issuable pursuant to the Purchase Agreement.</w:t>
      </w:r>
    </w:p>
    <w:p>
      <w:pPr>
        <w:spacing w:after="0" w:line="160"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and Amount of other securities beneficially owned by the Selling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291465</wp:posOffset>
            </wp:positionV>
            <wp:extent cx="630936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309360" cy="1714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445770</wp:posOffset>
            </wp:positionV>
            <wp:extent cx="630936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3093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2" w:name="page123"/>
    <w:bookmarkEnd w:id="122"/>
    <w:p>
      <w:pPr>
        <w:ind w:left="660"/>
        <w:spacing w:after="0"/>
        <w:rPr>
          <w:sz w:val="20"/>
          <w:szCs w:val="20"/>
          <w:color w:val="auto"/>
        </w:rPr>
      </w:pPr>
      <w:r>
        <w:rPr>
          <w:rFonts w:ascii="Times New Roman" w:cs="Times New Roman" w:eastAsia="Times New Roman" w:hAnsi="Times New Roman"/>
          <w:sz w:val="18"/>
          <w:szCs w:val="18"/>
          <w:b w:val="1"/>
          <w:bCs w:val="1"/>
          <w:color w:val="auto"/>
        </w:rPr>
        <w:t>5. Relationships with the Company:</w:t>
      </w:r>
    </w:p>
    <w:p>
      <w:pPr>
        <w:spacing w:after="0" w:line="227" w:lineRule="exact"/>
        <w:rPr>
          <w:sz w:val="20"/>
          <w:szCs w:val="20"/>
          <w:color w:val="auto"/>
        </w:rPr>
      </w:pPr>
    </w:p>
    <w:p>
      <w:pPr>
        <w:ind w:left="660" w:right="20"/>
        <w:spacing w:after="0" w:line="267" w:lineRule="auto"/>
        <w:rPr>
          <w:sz w:val="20"/>
          <w:szCs w:val="20"/>
          <w:color w:val="auto"/>
        </w:rPr>
      </w:pPr>
      <w:r>
        <w:rPr>
          <w:rFonts w:ascii="Times New Roman" w:cs="Times New Roman" w:eastAsia="Times New Roman" w:hAnsi="Times New Roman"/>
          <w:sz w:val="18"/>
          <w:szCs w:val="18"/>
          <w:i w:val="1"/>
          <w:iCs w:val="1"/>
          <w:color w:val="auto"/>
        </w:rPr>
        <w:t>Except as set forth below, neither the undersigned nor any of its affiliates, officers, directors or principal equity holders (owners of 5% of more of the equity securities of the undersigned) has held any position or office or has had any other material relationship with the Company (or its predecessors or affiliates) during the past three years.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State any exceptions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445770</wp:posOffset>
            </wp:positionV>
            <wp:extent cx="672084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720840" cy="171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291465</wp:posOffset>
            </wp:positionV>
            <wp:extent cx="672084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7208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undersigned agrees to promptly notify the Company of any material inaccuracies or changes in the information provided herein that may occur subsequent to the date hereof at any time while the Registration Statement remains effective; provided, that the undersigned shall not be required to notify the Company of any changes to the number of securities held or owned by the undersigned or its affiliates.</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By signing below, the undersigned consents to the disclosure of the information contained herein in its answers to Items 1 through 5 and the inclusion of such information in the Registration Statement and the related prospectus and any amendments or supplements thereto. The undersigned understands that such information will be relied upon by the Company in connection with the preparation or amendment of the Registration Statement and the related prospectus and any amendments or supplements thereto.</w:t>
      </w:r>
    </w:p>
    <w:p>
      <w:pPr>
        <w:spacing w:after="0" w:line="18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by authority duly given, has caused this Notice and Questionnaire to be executed and delivered either in person or by its duly authorized agent.</w:t>
      </w:r>
    </w:p>
    <w:p>
      <w:pPr>
        <w:spacing w:after="0" w:line="162"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17145</wp:posOffset>
            </wp:positionV>
            <wp:extent cx="178308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3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PLEASE EMAIL A .PDF COPY OF THE COMPLETED AND EXECUTED NOTICE AND QUESTIONNAIRE TO:</w:t>
      </w:r>
    </w:p>
    <w:p>
      <w:pPr>
        <w:spacing w:after="0" w:line="200" w:lineRule="exact"/>
        <w:rPr>
          <w:sz w:val="20"/>
          <w:szCs w:val="20"/>
          <w:color w:val="auto"/>
        </w:rPr>
      </w:pPr>
    </w:p>
    <w:p>
      <w:pPr>
        <w:spacing w:after="0" w:line="24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BLUEJAY DIAGNOSTICS ANNOUNCES UP TO $23.6 MILLION PRIVATE PLACEMENT</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PRICED AT-THE-MARKET UNDER NASDAQ RULES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$8.5 million upfront with up to approximately $15.1 million of potential additional gross proceeds upon the exercise in full of warrants</w:t>
      </w:r>
    </w:p>
    <w:p>
      <w:pPr>
        <w:spacing w:after="0" w:line="22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Net proceeds anticipated to extend cash runway into first quarter of 2027, beyond expected FDA submission; if warrants are exercised in full for cash, it is anticipated that the cash runway would extend well beyond FDA approval and first full year of commercialization</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ACTON, Mass., June 2, 2026 — Bluejay Diagnostics, Inc. (NASDAQ: BJDX) (“Bluejay” or the “Company”), a medical diagnostics company focused on near-patient testing for critical care, today announced that it has entered into definitive agreements for the purchase and sale of an aggregate of 3,655,917 shares of common stock (or pre-funded warrant in lieu thereof), series G warrants to purchase up to 3,655,917 shares of common stock and short-term series H warrants to purchase up to 3,655,917 shares of common stock at a purchase price of $2.325 per share of common stock (or per pre-funded warrant in lieu thereof) and accompanying warrants in a private placement priced at-the-market under Nasdaq rules. The series G warrants and the short-term series H warrants will have an exercise price of $2.075 per share and will be immediately exercisable upon issuance. The series G warrants will expire five years from the effective date (the “Effective Date”) of the resale registration statement registering the shares of common stock issuable upon exercise of the series G warrants, and the short-term series H warrants will expire twenty-four months from the Effective Date. The private placement is expected to close on or about June 3, 2026, subject to the satisfaction of customary closing conditions.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H.C. Wainwright &amp; Co. is acting as the exclusive placement agent for the offering.</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gross proceeds from the offering are expected to be $8.5 million, prior to deducting placement agent’s fees and other offering expenses payable by the Company. The potential additional gross proceeds to the Company from the series G warrants and the short-term series H warrants, if fully exercised on a cash basis, will be approximately $15.1 million. No assurance can be given that any of the series warrants will be exercised, or that the Company will receive cash proceeds from the exercise of the series warrants. The Company intends to use the net proceeds from the offering to fund matters related to obtaining FDA approval (including clinical studies related thereto), as well as for other research and development activities, and for general working capital needs.</w:t>
      </w:r>
    </w:p>
    <w:p>
      <w:pPr>
        <w:spacing w:after="0" w:line="187"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The securities described above are being offered in a private placement under Section 4(a)(2) of the Securities Act of 1933, as amended (the “Securities Act”), and/or Regulation D promulgated thereunder and, along with the shares of common stock underlying the warrants, have not been registered under the Securities Act, or applicable state securities laws. Accordingly, the securities issued in the private placement and shares of common stock underlying the warrants may not be offered or sold in the United States except pursuant to an effective registration statement or an applicable exemption from the registration requirements of the Securities Act and such applicable state securities laws. Pursuant to a registration rights agreement with investors, the Company has agreed to file a resale registration statement covering the securities described above.</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a solicitation of an offer to buy these securities, nor shall there be any sale of these securities in any state or other jurisdiction in which such offer, solicitation or sale would be unlawful prior to the registration or qualification under the securities laws of any such state or 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color w:val="auto"/>
        </w:rPr>
        <w:t>About Bluejay Diagnostics: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Bluejay Diagnostics, Inc. is a medical diagnostics company focused on improving patient outcomes using its Symphony System, a cost-effective, rapid, near-patient testing system for sepsis triage and monitoring of disease progression. Bluejay’s first product candidate, an IL-6 Test for sepsis, is designed to provide accurate, reliable results in approximately 20 minutes from ‘sample-to-result’ to help medical professionals make earlier and better triage/treatment decisions. More information is available at www.bluejaydx.com.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statements that the Company believes are “forward-looking statements” within the meaning of the Private Litigation Reform Act. Forward-looking statements in this press release include, without limitation, statements related to the completion of the offering, the satisfaction of customary closing conditions related to the offering, the intended use of proceeds therefrom and the potential exercise of the series warrants prior to their expiration and potential proceeds therefrom. Forward-looking statements may be identified by words such as “anticipates,” “believes,” “estimates,” “expects,” “intends,” “may,” “plans,” “projects,” “seeks,” “should,” “suggest,” “will,” and similar expressions. The Company has based these forward-looking statements on its current expectations and projections about future events, nevertheless, actual results or events could differ materially from the plans, intentions and expectations disclosed in, or implied by, the forward-looking statements the Company makes. These statements are only predictions and involve known and unknown risks, uncertainties, and other factors, including market and other conditions and those discussed under Part I, Item 1A, “Risk Factors” in its Annual Report on Form 10-K for the fiscal year ended December 31, 2025, and in Part II, Item 1A, “Risk Factors” in its Quarterly Report on Form 10-Q for the fiscal quarter ended March 31, 2026, as such factors may be updated from time to time in other filings with the SEC and accessible on the SEC’s website at www.sec.gov. You should not place undue reliance on these forward-looking statements, as they are subject to risks and uncertainties, and actual results and performance in future periods may not occur or may be materially different from any future results or performance suggested by the forward-looking statements in this release. This press release speaks as of the date indicated above. The Company expressly disclaims any obligation to update or revise any forward-looking statements found herein to reflect any future changes in the Company’s expectations of results or any future change in events, except as required by law.</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Bluejay Diagnostics,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ir@bluejaydx.com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Website: </w:t>
      </w:r>
      <w:r>
        <w:rPr>
          <w:rFonts w:ascii="Times New Roman" w:cs="Times New Roman" w:eastAsia="Times New Roman" w:hAnsi="Times New Roman"/>
          <w:sz w:val="18"/>
          <w:szCs w:val="18"/>
          <w:i w:val="1"/>
          <w:iCs w:val="1"/>
          <w:color w:val="auto"/>
        </w:rPr>
        <w:t>www.bluejaydx.com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BLUEJAY DIAGNOSTICS ANNOUNCES CLOSING OF UP TO $23.7 MILLION PRIVATE PLACEMENT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PRICED AT-THE-MARKET UNDER NASDAQ RULES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$8.5 million upfront with up to approximately $15.2 million of potential additional gross proceeds upon the exercise in full of warrants</w:t>
      </w:r>
    </w:p>
    <w:p>
      <w:pPr>
        <w:spacing w:after="0" w:line="22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Net proceeds anticipated to extend cash runway into first quarter of 2027, beyond expected FDA submission; if warrants are exercised in full for cash, it is anticipated that the cash runway would extend well beyond FDA approval and first full year of commercialization</w:t>
      </w:r>
    </w:p>
    <w:p>
      <w:pPr>
        <w:spacing w:after="0" w:line="15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ACTON, Mass., June 5, 2026 — Bluejay Diagnostics, Inc. (NASDAQ: BJDX) (“Bluejay” or the “Company”), a medical diagnostics company focused on near-patient testing for critical care, today announced the closing of its previously announced private placement for the purchase and sale of an aggregate of 3,655,917 shares of common stock (or pre-funded warrant in lieu thereof), series G warrants to purchase up to 3,655,917 shares of common stock and short-term series H warrants to purchase up to 3,655,917 shares of common stock at a purchase price of $2.325 per share of common stock (or per pre-funded warrant in lieu thereof) and accompanying warrants priced at-the-market under Nasdaq rules. The series G warrants and the short-term series H warrants have an exercise price of $2.075 per share and are immediately exercisable upon issuance. The series G warrants expire five years from the effective date (the “Effective Date”) of the resale registration statement registering the shares of common stock issuable upon exercise of the series G warrants, and the short-term series H warrants expire twenty-four months from the Effective Date.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H.C. Wainwright &amp; Co. acted as the exclusive placement agent for the offering.</w:t>
      </w:r>
    </w:p>
    <w:p>
      <w:pPr>
        <w:spacing w:after="0" w:line="22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gross proceeds from the offering were $8.5 million, prior to deducting placement agent’s fees and other offering expenses payable by the Company. The potential additional gross proceeds to the Company from the series G warrants and the short-term series H warrants, if fully exercised on a cash basis, will be approximately $15.2 million. No assurance can be given that any of the series warrants will be exercised, or that the Company will receive cash proceeds from the exercise of the series warrants. The Company intends to use the net proceeds from the offering to fund matters related to obtaining FDA approval (including clinical studies related thereto), as well as for other research and development activities, and for general working capital needs.</w:t>
      </w:r>
    </w:p>
    <w:p>
      <w:pPr>
        <w:spacing w:after="0" w:line="18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securities described above were offered in a private placement under Section 4(a)(2) of the Securities Act of 1933, as amended (the “Securities Act”), and/or Regulation D promulgated thereunder and, along with the shares of common stock underlying the warrants, have not been registered under the Securities Act, or applicable state securities laws. Accordingly, the securities issued in the private placement and shares of common stock underlying the warrants may not be offered or sold in the United States except pursuant to an effective registration statement or an applicable exemption from the registration requirements of the Securities Act and such applicable state securities laws. Pursuant to a registration rights agreement with investors, the Company has agreed to file a resale registration statement covering the securities described above.</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a solicitation of an offer to buy these securities, nor shall there be any sale of these securities in any state or other jurisdiction in which such offer, solicitation or sale would be unlawful prior to the registration or qualification under the securities laws of any such state or 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color w:val="auto"/>
        </w:rPr>
        <w:t>About Bluejay Diagnostics: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Bluejay Diagnostics, Inc. is a medical diagnostics company focused on improving patient outcomes using its Symphony System, a cost-effective, rapid, near-patient testing system for sepsis triage and monitoring of disease progression. Bluejay’s first product candidate, an IL-6 Test for sepsis, is designed to provide accurate, reliable results in approximately 20 minutes from ‘sample-to-result’ to help medical professionals make earlier and better triage/treatment decisions. More information is available at www.bluejaydx.com.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2E2E2E"/>
        </w:rPr>
        <w:t xml:space="preserve">This press release contains statements that the Company believes are “forward-looking statements” within the meaning of the Private Litigation Reform Act. Forward-looking statements in this press release include, without limitation, </w:t>
      </w:r>
      <w:r>
        <w:rPr>
          <w:rFonts w:ascii="Times New Roman" w:cs="Times New Roman" w:eastAsia="Times New Roman" w:hAnsi="Times New Roman"/>
          <w:sz w:val="18"/>
          <w:szCs w:val="18"/>
          <w:color w:val="000000"/>
        </w:rPr>
        <w:t>statements</w:t>
      </w:r>
      <w:r>
        <w:rPr>
          <w:rFonts w:ascii="Times New Roman" w:cs="Times New Roman" w:eastAsia="Times New Roman" w:hAnsi="Times New Roman"/>
          <w:sz w:val="18"/>
          <w:szCs w:val="18"/>
          <w:color w:val="2E2E2E"/>
        </w:rPr>
        <w:t xml:space="preserve"> related to the intended use of proceeds from the offering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2E2E2E"/>
        </w:rPr>
        <w:t xml:space="preserve"> </w:t>
      </w:r>
      <w:r>
        <w:rPr>
          <w:rFonts w:ascii="Times New Roman" w:cs="Times New Roman" w:eastAsia="Times New Roman" w:hAnsi="Times New Roman"/>
          <w:sz w:val="18"/>
          <w:szCs w:val="18"/>
          <w:color w:val="000000"/>
        </w:rPr>
        <w:t>the potential exercise of the series warrants prior to their expiration and potential proceeds therefrom</w:t>
      </w:r>
      <w:r>
        <w:rPr>
          <w:rFonts w:ascii="Times New Roman" w:cs="Times New Roman" w:eastAsia="Times New Roman" w:hAnsi="Times New Roman"/>
          <w:sz w:val="18"/>
          <w:szCs w:val="18"/>
          <w:color w:val="2E2E2E"/>
        </w:rPr>
        <w:t>. Forward-looking statements may be identified by</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E2E2E"/>
        </w:rPr>
        <w:t>words such as “anticipates,” “believes,” “estimates,” “expects,” “intends,” “may,” “plans,” “projects,” “seeks,” “should,” “suggest,” “will,” and similar expressions. The Company has based these forward-looking statements on its current expectations and projections about future events, nevertheless, actual results or events could differ materially from the plans, intentions and expectations disclosed in, or implied by, the forward-looking statements the Company makes. These statements are only predictions and involve known and unknown risks, uncertainties, and other factors, including market and other conditions and those discussed under Part I, Item 1A, “Risk Factors” in its Annual Report on Form 10-K for the fiscal year ended December 31, 2025, and in Part II, Item 1A, “Risk Factors” in its Quarterly Report on Form 10-Q for the fiscal quarter ended March 31, 2026, as such factors may be updated from time to time in other filings with the SEC and accessible on the SEC’s website at www.sec.gov. You should not place undue reliance on these forward-looking statements, as they are subject to risks and uncertainties, and actual results and performance in future periods may not occur or may be materially different from any future results or performance suggested by the forward-looking statements in this release. This press release speaks as of the date indicated above. The Company expressly disclaims any obligation to update or revise any forward-looking statements found herein to reflect any future changes in the Company’s expectations of results or any future change in events, except as required by law.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Bluejay Diagnostics,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ir@bluejaydx.com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Website: </w:t>
      </w:r>
      <w:r>
        <w:rPr>
          <w:rFonts w:ascii="Times New Roman" w:cs="Times New Roman" w:eastAsia="Times New Roman" w:hAnsi="Times New Roman"/>
          <w:sz w:val="18"/>
          <w:szCs w:val="18"/>
          <w:i w:val="1"/>
          <w:iCs w:val="1"/>
          <w:color w:val="auto"/>
        </w:rPr>
        <w:t>www.bluejaydx.com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9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5E7FD0"/>
    <w:multiLevelType w:val="hybridMultilevel"/>
    <w:lvl w:ilvl="0">
      <w:lvlJc w:val="left"/>
      <w:lvlText w:val="☐"/>
      <w:numFmt w:val="bullet"/>
      <w:start w:val="1"/>
    </w:lvl>
  </w:abstractNum>
  <w:abstractNum w:abstractNumId="1">
    <w:nsid w:val="98A3148"/>
    <w:multiLevelType w:val="hybridMultilevel"/>
    <w:lvl w:ilvl="0">
      <w:lvlJc w:val="left"/>
      <w:lvlText w:val="(%1)"/>
      <w:numFmt w:val="lowerRoman"/>
      <w:start w:val="1"/>
    </w:lvl>
  </w:abstractNum>
  <w:abstractNum w:abstractNumId="2">
    <w:nsid w:val="799D0247"/>
    <w:multiLevelType w:val="hybridMultilevel"/>
    <w:lvl w:ilvl="0">
      <w:lvlJc w:val="left"/>
      <w:lvlText w:val="%1"/>
      <w:numFmt w:val="decimal"/>
      <w:start w:val="104"/>
    </w:lvl>
  </w:abstractNum>
  <w:abstractNum w:abstractNumId="3">
    <w:nsid w:val="6B94764"/>
    <w:multiLevelType w:val="hybridMultilevel"/>
    <w:lvl w:ilvl="0">
      <w:lvlJc w:val="left"/>
      <w:lvlText w:val="%1)"/>
      <w:numFmt w:val="lowerLetter"/>
      <w:start w:val="1"/>
    </w:lvl>
  </w:abstractNum>
  <w:abstractNum w:abstractNumId="4">
    <w:nsid w:val="42C296BD"/>
    <w:multiLevelType w:val="hybridMultilevel"/>
    <w:lvl w:ilvl="0">
      <w:lvlJc w:val="left"/>
      <w:lvlText w:val="%1)"/>
      <w:numFmt w:val="lowerLetter"/>
      <w:start w:val="2"/>
    </w:lvl>
  </w:abstractNum>
  <w:abstractNum w:abstractNumId="5">
    <w:nsid w:val="168E121F"/>
    <w:multiLevelType w:val="hybridMultilevel"/>
    <w:lvl w:ilvl="0">
      <w:lvlJc w:val="left"/>
      <w:lvlText w:val="(%1)"/>
      <w:numFmt w:val="upperLetter"/>
      <w:start w:val="1"/>
    </w:lvl>
  </w:abstractNum>
  <w:abstractNum w:abstractNumId="6">
    <w:nsid w:val="1EBA5D23"/>
    <w:multiLevelType w:val="hybridMultilevel"/>
    <w:lvl w:ilvl="0">
      <w:lvlJc w:val="left"/>
      <w:lvlText w:val="(%1)"/>
      <w:numFmt w:val="upperLetter"/>
      <w:start w:val="24"/>
    </w:lvl>
  </w:abstractNum>
  <w:abstractNum w:abstractNumId="7">
    <w:nsid w:val="661E3F1E"/>
    <w:multiLevelType w:val="hybridMultilevel"/>
    <w:lvl w:ilvl="0">
      <w:lvlJc w:val="left"/>
      <w:lvlText w:val="%1)"/>
      <w:numFmt w:val="lowerLetter"/>
      <w:start w:val="4"/>
    </w:lvl>
    <w:lvl w:ilvl="1">
      <w:lvlJc w:val="left"/>
      <w:lvlText w:val="%2."/>
      <w:numFmt w:val="lowerRoman"/>
      <w:start w:val="1"/>
    </w:lvl>
  </w:abstractNum>
  <w:abstractNum w:abstractNumId="8">
    <w:nsid w:val="5DC79EA8"/>
    <w:multiLevelType w:val="hybridMultilevel"/>
    <w:lvl w:ilvl="0">
      <w:lvlJc w:val="left"/>
      <w:lvlText w:val="%1."/>
      <w:numFmt w:val="lowerRoman"/>
      <w:start w:val="2"/>
    </w:lvl>
  </w:abstractNum>
  <w:abstractNum w:abstractNumId="9">
    <w:nsid w:val="540A471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6"/>
    </w:lvl>
  </w:abstractNum>
  <w:abstractNum w:abstractNumId="10">
    <w:nsid w:val="7BD3EE7B"/>
    <w:multiLevelType w:val="hybridMultilevel"/>
    <w:lvl w:ilvl="0">
      <w:lvlJc w:val="left"/>
      <w:lvlText w:val="%1"/>
      <w:numFmt w:val="upperLetter"/>
      <w:start w:val="1"/>
    </w:lvl>
    <w:lvl w:ilvl="1">
      <w:lvlJc w:val="left"/>
      <w:lvlText w:val="%2)"/>
      <w:numFmt w:val="lowerLetter"/>
      <w:start w:val="5"/>
    </w:lvl>
    <w:lvl w:ilvl="2">
      <w:lvlJc w:val="left"/>
      <w:lvlText w:val="%3"/>
      <w:numFmt w:val="lowerRoman"/>
      <w:start w:val="1"/>
    </w:lvl>
  </w:abstractNum>
  <w:abstractNum w:abstractNumId="11">
    <w:nsid w:val="51D9C564"/>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12">
    <w:nsid w:val="613EFDC5"/>
    <w:multiLevelType w:val="hybridMultilevel"/>
    <w:lvl w:ilvl="0">
      <w:lvlJc w:val="left"/>
      <w:lvlText w:val="%1)"/>
      <w:numFmt w:val="lowerLetter"/>
      <w:start w:val="1"/>
    </w:lvl>
  </w:abstractNum>
  <w:abstractNum w:abstractNumId="13">
    <w:nsid w:val="BF72B14"/>
    <w:multiLevelType w:val="hybridMultilevel"/>
    <w:lvl w:ilvl="0">
      <w:lvlJc w:val="left"/>
      <w:lvlText w:val="%1)"/>
      <w:numFmt w:val="lowerLetter"/>
      <w:start w:val="4"/>
    </w:lvl>
  </w:abstractNum>
  <w:abstractNum w:abstractNumId="14">
    <w:nsid w:val="11447B73"/>
    <w:multiLevelType w:val="hybridMultilevel"/>
    <w:lvl w:ilvl="0">
      <w:lvlJc w:val="left"/>
      <w:lvlText w:val="%1)"/>
      <w:numFmt w:val="lowerLetter"/>
      <w:start w:val="5"/>
    </w:lvl>
    <w:lvl w:ilvl="1">
      <w:lvlJc w:val="left"/>
      <w:lvlText w:val="%2."/>
      <w:numFmt w:val="lowerRoman"/>
      <w:start w:val="1"/>
    </w:lvl>
  </w:abstractNum>
  <w:abstractNum w:abstractNumId="15">
    <w:nsid w:val="42963E5A"/>
    <w:multiLevelType w:val="hybridMultilevel"/>
    <w:lvl w:ilvl="0">
      <w:lvlJc w:val="left"/>
      <w:lvlText w:val="%1)"/>
      <w:numFmt w:val="lowerLetter"/>
      <w:start w:val="1"/>
    </w:lvl>
  </w:abstractNum>
  <w:abstractNum w:abstractNumId="16">
    <w:nsid w:val="A0382C5"/>
    <w:multiLevelType w:val="hybridMultilevel"/>
    <w:lvl w:ilvl="0">
      <w:lvlJc w:val="left"/>
      <w:lvlText w:val="%1)"/>
      <w:numFmt w:val="lowerLetter"/>
      <w:start w:val="4"/>
    </w:lvl>
  </w:abstractNum>
  <w:abstractNum w:abstractNumId="17">
    <w:nsid w:val="8F2B15E"/>
    <w:multiLevelType w:val="hybridMultilevel"/>
    <w:lvl w:ilvl="0">
      <w:lvlJc w:val="left"/>
      <w:lvlText w:val="%1)"/>
      <w:numFmt w:val="lowerLetter"/>
      <w:start w:val="5"/>
    </w:lvl>
  </w:abstractNum>
  <w:abstractNum w:abstractNumId="18">
    <w:nsid w:val="1A32234B"/>
    <w:multiLevelType w:val="hybridMultilevel"/>
    <w:lvl w:ilvl="0">
      <w:lvlJc w:val="left"/>
      <w:lvlText w:val="%1)"/>
      <w:numFmt w:val="lowerLetter"/>
      <w:start w:val="1"/>
    </w:lvl>
  </w:abstractNum>
  <w:abstractNum w:abstractNumId="19">
    <w:nsid w:val="3B0FD379"/>
    <w:multiLevelType w:val="hybridMultilevel"/>
    <w:lvl w:ilvl="0">
      <w:lvlJc w:val="left"/>
      <w:lvlText w:val="%1)"/>
      <w:numFmt w:val="lowerLetter"/>
      <w:start w:val="5"/>
    </w:lvl>
  </w:abstractNum>
  <w:abstractNum w:abstractNumId="20">
    <w:nsid w:val="68EB2F63"/>
    <w:multiLevelType w:val="hybridMultilevel"/>
    <w:lvl w:ilvl="0">
      <w:lvlJc w:val="left"/>
      <w:lvlText w:val="(%1)"/>
      <w:numFmt w:val="decimal"/>
      <w:start w:val="1"/>
    </w:lvl>
    <w:lvl w:ilvl="1">
      <w:lvlJc w:val="left"/>
      <w:lvlText w:val="☐"/>
      <w:numFmt w:val="bullet"/>
      <w:start w:val="1"/>
    </w:lvl>
  </w:abstractNum>
  <w:abstractNum w:abstractNumId="21">
    <w:nsid w:val="4962813B"/>
    <w:multiLevelType w:val="hybridMultilevel"/>
    <w:lvl w:ilvl="0">
      <w:lvlJc w:val="left"/>
      <w:lvlText w:val="(%1)"/>
      <w:numFmt w:val="decimal"/>
      <w:start w:val="4"/>
    </w:lvl>
  </w:abstractNum>
  <w:abstractNum w:abstractNumId="22">
    <w:nsid w:val="60B6DF70"/>
    <w:multiLevelType w:val="hybridMultilevel"/>
    <w:lvl w:ilvl="0">
      <w:lvlJc w:val="left"/>
      <w:lvlText w:val="%1)"/>
      <w:numFmt w:val="lowerLetter"/>
      <w:start w:val="1"/>
    </w:lvl>
  </w:abstractNum>
  <w:abstractNum w:abstractNumId="23">
    <w:nsid w:val="6A5EE64"/>
    <w:multiLevelType w:val="hybridMultilevel"/>
    <w:lvl w:ilvl="0">
      <w:lvlJc w:val="left"/>
      <w:lvlText w:val="%1)"/>
      <w:numFmt w:val="lowerLetter"/>
      <w:start w:val="2"/>
    </w:lvl>
  </w:abstractNum>
  <w:abstractNum w:abstractNumId="24">
    <w:nsid w:val="14330624"/>
    <w:multiLevelType w:val="hybridMultilevel"/>
    <w:lvl w:ilvl="0">
      <w:lvlJc w:val="left"/>
      <w:lvlText w:val="(%1)"/>
      <w:numFmt w:val="upperLetter"/>
      <w:start w:val="1"/>
    </w:lvl>
  </w:abstractNum>
  <w:abstractNum w:abstractNumId="25">
    <w:nsid w:val="7FFFCA11"/>
    <w:multiLevelType w:val="hybridMultilevel"/>
    <w:lvl w:ilvl="0">
      <w:lvlJc w:val="left"/>
      <w:lvlText w:val="(%1)"/>
      <w:numFmt w:val="upperLetter"/>
      <w:start w:val="24"/>
    </w:lvl>
  </w:abstractNum>
  <w:abstractNum w:abstractNumId="26">
    <w:nsid w:val="1A27709E"/>
    <w:multiLevelType w:val="hybridMultilevel"/>
    <w:lvl w:ilvl="0">
      <w:lvlJc w:val="left"/>
      <w:lvlText w:val="%1)"/>
      <w:numFmt w:val="lowerLetter"/>
      <w:start w:val="4"/>
    </w:lvl>
    <w:lvl w:ilvl="1">
      <w:lvlJc w:val="left"/>
      <w:lvlText w:val="%2."/>
      <w:numFmt w:val="lowerRoman"/>
      <w:start w:val="1"/>
    </w:lvl>
  </w:abstractNum>
  <w:abstractNum w:abstractNumId="27">
    <w:nsid w:val="71EA1109"/>
    <w:multiLevelType w:val="hybridMultilevel"/>
    <w:lvl w:ilvl="0">
      <w:lvlJc w:val="left"/>
      <w:lvlText w:val="%1."/>
      <w:numFmt w:val="lowerRoman"/>
      <w:start w:val="2"/>
    </w:lvl>
  </w:abstractNum>
  <w:abstractNum w:abstractNumId="28">
    <w:nsid w:val="100F59D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6"/>
    </w:lvl>
  </w:abstractNum>
  <w:abstractNum w:abstractNumId="29">
    <w:nsid w:val="7FB7E0AA"/>
    <w:multiLevelType w:val="hybridMultilevel"/>
    <w:lvl w:ilvl="0">
      <w:lvlJc w:val="left"/>
      <w:lvlText w:val="%1"/>
      <w:numFmt w:val="upperLetter"/>
      <w:start w:val="1"/>
    </w:lvl>
    <w:lvl w:ilvl="1">
      <w:lvlJc w:val="left"/>
      <w:lvlText w:val="%2)"/>
      <w:numFmt w:val="lowerLetter"/>
      <w:start w:val="5"/>
    </w:lvl>
    <w:lvl w:ilvl="2">
      <w:lvlJc w:val="left"/>
      <w:lvlText w:val="%3"/>
      <w:numFmt w:val="lowerRoman"/>
      <w:start w:val="1"/>
    </w:lvl>
  </w:abstractNum>
  <w:abstractNum w:abstractNumId="30">
    <w:nsid w:val="6EB5BD4"/>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31">
    <w:nsid w:val="6F6DD9AC"/>
    <w:multiLevelType w:val="hybridMultilevel"/>
    <w:lvl w:ilvl="0">
      <w:lvlJc w:val="left"/>
      <w:lvlText w:val="%1)"/>
      <w:numFmt w:val="lowerLetter"/>
      <w:start w:val="1"/>
    </w:lvl>
  </w:abstractNum>
  <w:abstractNum w:abstractNumId="32">
    <w:nsid w:val="94211F2"/>
    <w:multiLevelType w:val="hybridMultilevel"/>
    <w:lvl w:ilvl="0">
      <w:lvlJc w:val="left"/>
      <w:lvlText w:val="%1"/>
      <w:numFmt w:val="lowerRoman"/>
      <w:start w:val="1"/>
    </w:lvl>
    <w:lvl w:ilvl="1">
      <w:lvlJc w:val="left"/>
      <w:lvlText w:val="%2)"/>
      <w:numFmt w:val="lowerLetter"/>
      <w:start w:val="4"/>
    </w:lvl>
  </w:abstractNum>
  <w:abstractNum w:abstractNumId="33">
    <w:nsid w:val="885E1B"/>
    <w:multiLevelType w:val="hybridMultilevel"/>
    <w:lvl w:ilvl="0">
      <w:lvlJc w:val="left"/>
      <w:lvlText w:val="(%1)"/>
      <w:numFmt w:val="lowerRoman"/>
      <w:start w:val="2"/>
    </w:lvl>
    <w:lvl w:ilvl="1">
      <w:lvlJc w:val="left"/>
      <w:lvlText w:val="%2"/>
      <w:numFmt w:val="lowerLetter"/>
      <w:start w:val="1"/>
    </w:lvl>
  </w:abstractNum>
  <w:abstractNum w:abstractNumId="34">
    <w:nsid w:val="76272110"/>
    <w:multiLevelType w:val="hybridMultilevel"/>
    <w:lvl w:ilvl="0">
      <w:lvlJc w:val="left"/>
      <w:lvlText w:val="%1)"/>
      <w:numFmt w:val="lowerLetter"/>
      <w:start w:val="5"/>
    </w:lvl>
    <w:lvl w:ilvl="1">
      <w:lvlJc w:val="left"/>
      <w:lvlText w:val="%2."/>
      <w:numFmt w:val="lowerRoman"/>
      <w:start w:val="1"/>
    </w:lvl>
  </w:abstractNum>
  <w:abstractNum w:abstractNumId="35">
    <w:nsid w:val="4C04A8AF"/>
    <w:multiLevelType w:val="hybridMultilevel"/>
    <w:lvl w:ilvl="0">
      <w:lvlJc w:val="left"/>
      <w:lvlText w:val="%1)"/>
      <w:numFmt w:val="lowerLetter"/>
      <w:start w:val="1"/>
    </w:lvl>
  </w:abstractNum>
  <w:abstractNum w:abstractNumId="36">
    <w:nsid w:val="1716703B"/>
    <w:multiLevelType w:val="hybridMultilevel"/>
    <w:lvl w:ilvl="0">
      <w:lvlJc w:val="left"/>
      <w:lvlText w:val="%1)"/>
      <w:numFmt w:val="lowerLetter"/>
      <w:start w:val="4"/>
    </w:lvl>
  </w:abstractNum>
  <w:abstractNum w:abstractNumId="37">
    <w:nsid w:val="14E17E33"/>
    <w:multiLevelType w:val="hybridMultilevel"/>
    <w:lvl w:ilvl="0">
      <w:lvlJc w:val="left"/>
      <w:lvlText w:val="%1)"/>
      <w:numFmt w:val="lowerLetter"/>
      <w:start w:val="1"/>
    </w:lvl>
  </w:abstractNum>
  <w:abstractNum w:abstractNumId="38">
    <w:nsid w:val="3222E7CD"/>
    <w:multiLevelType w:val="hybridMultilevel"/>
    <w:lvl w:ilvl="0">
      <w:lvlJc w:val="left"/>
      <w:lvlText w:val="%1)"/>
      <w:numFmt w:val="lowerLetter"/>
      <w:start w:val="5"/>
    </w:lvl>
  </w:abstractNum>
  <w:abstractNum w:abstractNumId="39">
    <w:nsid w:val="74DE0EE3"/>
    <w:multiLevelType w:val="hybridMultilevel"/>
    <w:lvl w:ilvl="0">
      <w:lvlJc w:val="left"/>
      <w:lvlText w:val="%1)"/>
      <w:numFmt w:val="lowerLetter"/>
      <w:start w:val="9"/>
    </w:lvl>
  </w:abstractNum>
  <w:abstractNum w:abstractNumId="40">
    <w:nsid w:val="68EBC550"/>
    <w:multiLevelType w:val="hybridMultilevel"/>
    <w:lvl w:ilvl="0">
      <w:lvlJc w:val="left"/>
      <w:lvlText w:val="(%1)"/>
      <w:numFmt w:val="decimal"/>
      <w:start w:val="1"/>
    </w:lvl>
    <w:lvl w:ilvl="1">
      <w:lvlJc w:val="left"/>
      <w:lvlText w:val="☐"/>
      <w:numFmt w:val="bullet"/>
      <w:start w:val="1"/>
    </w:lvl>
  </w:abstractNum>
  <w:abstractNum w:abstractNumId="41">
    <w:nsid w:val="2DF6D648"/>
    <w:multiLevelType w:val="hybridMultilevel"/>
    <w:lvl w:ilvl="0">
      <w:lvlJc w:val="left"/>
      <w:lvlText w:val="(%1)"/>
      <w:numFmt w:val="decimal"/>
      <w:start w:val="4"/>
    </w:lvl>
  </w:abstractNum>
  <w:abstractNum w:abstractNumId="42">
    <w:nsid w:val="46B7D447"/>
    <w:multiLevelType w:val="hybridMultilevel"/>
    <w:lvl w:ilvl="0">
      <w:lvlJc w:val="left"/>
      <w:lvlText w:val="%1)"/>
      <w:numFmt w:val="lowerLetter"/>
      <w:start w:val="1"/>
    </w:lvl>
  </w:abstractNum>
  <w:abstractNum w:abstractNumId="43">
    <w:nsid w:val="4A2AC315"/>
    <w:multiLevelType w:val="hybridMultilevel"/>
    <w:lvl w:ilvl="0">
      <w:lvlJc w:val="left"/>
      <w:lvlText w:val="%1)"/>
      <w:numFmt w:val="lowerLetter"/>
      <w:start w:val="2"/>
    </w:lvl>
  </w:abstractNum>
  <w:abstractNum w:abstractNumId="44">
    <w:nsid w:val="39EE015C"/>
    <w:multiLevelType w:val="hybridMultilevel"/>
    <w:lvl w:ilvl="0">
      <w:lvlJc w:val="left"/>
      <w:lvlText w:val="(%1)"/>
      <w:numFmt w:val="upperLetter"/>
      <w:start w:val="1"/>
    </w:lvl>
  </w:abstractNum>
  <w:abstractNum w:abstractNumId="45">
    <w:nsid w:val="57FC4FBB"/>
    <w:multiLevelType w:val="hybridMultilevel"/>
    <w:lvl w:ilvl="0">
      <w:lvlJc w:val="left"/>
      <w:lvlText w:val="(%1)"/>
      <w:numFmt w:val="upperLetter"/>
      <w:start w:val="24"/>
    </w:lvl>
  </w:abstractNum>
  <w:abstractNum w:abstractNumId="46">
    <w:nsid w:val="CC1016F"/>
    <w:multiLevelType w:val="hybridMultilevel"/>
    <w:lvl w:ilvl="0">
      <w:lvlJc w:val="left"/>
      <w:lvlText w:val="%1)"/>
      <w:numFmt w:val="lowerLetter"/>
      <w:start w:val="4"/>
    </w:lvl>
    <w:lvl w:ilvl="1">
      <w:lvlJc w:val="left"/>
      <w:lvlText w:val="%2."/>
      <w:numFmt w:val="lowerRoman"/>
      <w:start w:val="1"/>
    </w:lvl>
  </w:abstractNum>
  <w:abstractNum w:abstractNumId="47">
    <w:nsid w:val="43F18422"/>
    <w:multiLevelType w:val="hybridMultilevel"/>
    <w:lvl w:ilvl="0">
      <w:lvlJc w:val="left"/>
      <w:lvlText w:val="%1."/>
      <w:numFmt w:val="lowerRoman"/>
      <w:start w:val="2"/>
    </w:lvl>
  </w:abstractNum>
  <w:abstractNum w:abstractNumId="48">
    <w:nsid w:val="60EF0119"/>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6"/>
    </w:lvl>
  </w:abstractNum>
  <w:abstractNum w:abstractNumId="49">
    <w:nsid w:val="26F324BA"/>
    <w:multiLevelType w:val="hybridMultilevel"/>
    <w:lvl w:ilvl="0">
      <w:lvlJc w:val="left"/>
      <w:lvlText w:val="%1"/>
      <w:numFmt w:val="upperLetter"/>
      <w:start w:val="1"/>
    </w:lvl>
    <w:lvl w:ilvl="1">
      <w:lvlJc w:val="left"/>
      <w:lvlText w:val="%2)"/>
      <w:numFmt w:val="lowerLetter"/>
      <w:start w:val="5"/>
    </w:lvl>
    <w:lvl w:ilvl="2">
      <w:lvlJc w:val="left"/>
      <w:lvlText w:val="%3"/>
      <w:numFmt w:val="lowerRoman"/>
      <w:start w:val="1"/>
    </w:lvl>
  </w:abstractNum>
  <w:abstractNum w:abstractNumId="50">
    <w:nsid w:val="7F01579B"/>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51">
    <w:nsid w:val="49DA307D"/>
    <w:multiLevelType w:val="hybridMultilevel"/>
    <w:lvl w:ilvl="0">
      <w:lvlJc w:val="left"/>
      <w:lvlText w:val="%1)"/>
      <w:numFmt w:val="lowerLetter"/>
      <w:start w:val="1"/>
    </w:lvl>
  </w:abstractNum>
  <w:abstractNum w:abstractNumId="52">
    <w:nsid w:val="7055A5F5"/>
    <w:multiLevelType w:val="hybridMultilevel"/>
    <w:lvl w:ilvl="0">
      <w:lvlJc w:val="left"/>
      <w:lvlText w:val="%1"/>
      <w:numFmt w:val="lowerRoman"/>
      <w:start w:val="1"/>
    </w:lvl>
    <w:lvl w:ilvl="1">
      <w:lvlJc w:val="left"/>
      <w:lvlText w:val="%2)"/>
      <w:numFmt w:val="lowerLetter"/>
      <w:start w:val="4"/>
    </w:lvl>
  </w:abstractNum>
  <w:abstractNum w:abstractNumId="53">
    <w:nsid w:val="5FB8370B"/>
    <w:multiLevelType w:val="hybridMultilevel"/>
    <w:lvl w:ilvl="0">
      <w:lvlJc w:val="left"/>
      <w:lvlText w:val="(%1)"/>
      <w:numFmt w:val="lowerRoman"/>
      <w:start w:val="2"/>
    </w:lvl>
    <w:lvl w:ilvl="1">
      <w:lvlJc w:val="left"/>
      <w:lvlText w:val="%2"/>
      <w:numFmt w:val="lowerLetter"/>
      <w:start w:val="1"/>
    </w:lvl>
  </w:abstractNum>
  <w:abstractNum w:abstractNumId="54">
    <w:nsid w:val="50801EE1"/>
    <w:multiLevelType w:val="hybridMultilevel"/>
    <w:lvl w:ilvl="0">
      <w:lvlJc w:val="left"/>
      <w:lvlText w:val="%1)"/>
      <w:numFmt w:val="lowerLetter"/>
      <w:start w:val="5"/>
    </w:lvl>
    <w:lvl w:ilvl="1">
      <w:lvlJc w:val="left"/>
      <w:lvlText w:val="%2."/>
      <w:numFmt w:val="lowerRoman"/>
      <w:start w:val="1"/>
    </w:lvl>
  </w:abstractNum>
  <w:abstractNum w:abstractNumId="55">
    <w:nsid w:val="488AC1A"/>
    <w:multiLevelType w:val="hybridMultilevel"/>
    <w:lvl w:ilvl="0">
      <w:lvlJc w:val="left"/>
      <w:lvlText w:val="%1)"/>
      <w:numFmt w:val="lowerLetter"/>
      <w:start w:val="1"/>
    </w:lvl>
  </w:abstractNum>
  <w:abstractNum w:abstractNumId="56">
    <w:nsid w:val="5FB8011C"/>
    <w:multiLevelType w:val="hybridMultilevel"/>
    <w:lvl w:ilvl="0">
      <w:lvlJc w:val="left"/>
      <w:lvlText w:val="%1)"/>
      <w:numFmt w:val="lowerLetter"/>
      <w:start w:val="2"/>
    </w:lvl>
  </w:abstractNum>
  <w:abstractNum w:abstractNumId="57">
    <w:nsid w:val="6AA78F7F"/>
    <w:multiLevelType w:val="hybridMultilevel"/>
    <w:lvl w:ilvl="0">
      <w:lvlJc w:val="left"/>
      <w:lvlText w:val="%1)"/>
      <w:numFmt w:val="lowerLetter"/>
      <w:start w:val="4"/>
    </w:lvl>
  </w:abstractNum>
  <w:abstractNum w:abstractNumId="58">
    <w:nsid w:val="7672BD23"/>
    <w:multiLevelType w:val="hybridMultilevel"/>
    <w:lvl w:ilvl="0">
      <w:lvlJc w:val="left"/>
      <w:lvlText w:val="%1)"/>
      <w:numFmt w:val="lowerLetter"/>
      <w:start w:val="1"/>
    </w:lvl>
  </w:abstractNum>
  <w:abstractNum w:abstractNumId="59">
    <w:nsid w:val="6FC75AF8"/>
    <w:multiLevelType w:val="hybridMultilevel"/>
    <w:lvl w:ilvl="0">
      <w:lvlJc w:val="left"/>
      <w:lvlText w:val="%1)"/>
      <w:numFmt w:val="lowerLetter"/>
      <w:start w:val="2"/>
    </w:lvl>
  </w:abstractNum>
  <w:abstractNum w:abstractNumId="60">
    <w:nsid w:val="6A5F7029"/>
    <w:multiLevelType w:val="hybridMultilevel"/>
    <w:lvl w:ilvl="0">
      <w:lvlJc w:val="left"/>
      <w:lvlText w:val="%1)"/>
      <w:numFmt w:val="lowerLetter"/>
      <w:start w:val="5"/>
    </w:lvl>
  </w:abstractNum>
  <w:abstractNum w:abstractNumId="61">
    <w:nsid w:val="7D5E18F8"/>
    <w:multiLevelType w:val="hybridMultilevel"/>
    <w:lvl w:ilvl="0">
      <w:lvlJc w:val="left"/>
      <w:lvlText w:val="(%1)"/>
      <w:numFmt w:val="decimal"/>
      <w:start w:val="1"/>
    </w:lvl>
    <w:lvl w:ilvl="1">
      <w:lvlJc w:val="left"/>
      <w:lvlText w:val="☐"/>
      <w:numFmt w:val="bullet"/>
      <w:start w:val="1"/>
    </w:lvl>
  </w:abstractNum>
  <w:abstractNum w:abstractNumId="62">
    <w:nsid w:val="5F3534A4"/>
    <w:multiLevelType w:val="hybridMultilevel"/>
    <w:lvl w:ilvl="0">
      <w:lvlJc w:val="left"/>
      <w:lvlText w:val="(%1)"/>
      <w:numFmt w:val="decimal"/>
      <w:start w:val="4"/>
    </w:lvl>
  </w:abstractNum>
  <w:abstractNum w:abstractNumId="63">
    <w:nsid w:val="73A1821B"/>
    <w:multiLevelType w:val="hybridMultilevel"/>
    <w:lvl w:ilvl="0">
      <w:lvlJc w:val="left"/>
      <w:lvlText w:val="%1)"/>
      <w:numFmt w:val="lowerLetter"/>
      <w:start w:val="1"/>
    </w:lvl>
  </w:abstractNum>
  <w:abstractNum w:abstractNumId="64">
    <w:nsid w:val="7DE67713"/>
    <w:multiLevelType w:val="hybridMultilevel"/>
    <w:lvl w:ilvl="0">
      <w:lvlJc w:val="left"/>
      <w:lvlText w:val="%1)"/>
      <w:numFmt w:val="lowerLetter"/>
      <w:start w:val="2"/>
    </w:lvl>
  </w:abstractNum>
  <w:abstractNum w:abstractNumId="65">
    <w:nsid w:val="555C55B5"/>
    <w:multiLevelType w:val="hybridMultilevel"/>
    <w:lvl w:ilvl="0">
      <w:lvlJc w:val="left"/>
      <w:lvlText w:val="(%1)"/>
      <w:numFmt w:val="upperLetter"/>
      <w:start w:val="1"/>
    </w:lvl>
  </w:abstractNum>
  <w:abstractNum w:abstractNumId="66">
    <w:nsid w:val="3FA62ACA"/>
    <w:multiLevelType w:val="hybridMultilevel"/>
    <w:lvl w:ilvl="0">
      <w:lvlJc w:val="left"/>
      <w:lvlText w:val="(%1)"/>
      <w:numFmt w:val="upperLetter"/>
      <w:start w:val="24"/>
    </w:lvl>
  </w:abstractNum>
  <w:abstractNum w:abstractNumId="67">
    <w:nsid w:val="14FCE74E"/>
    <w:multiLevelType w:val="hybridMultilevel"/>
    <w:lvl w:ilvl="0">
      <w:lvlJc w:val="left"/>
      <w:lvlText w:val="%1)"/>
      <w:numFmt w:val="lowerLetter"/>
      <w:start w:val="4"/>
    </w:lvl>
    <w:lvl w:ilvl="1">
      <w:lvlJc w:val="left"/>
      <w:lvlText w:val="%2."/>
      <w:numFmt w:val="lowerRoman"/>
      <w:start w:val="1"/>
    </w:lvl>
  </w:abstractNum>
  <w:abstractNum w:abstractNumId="68">
    <w:nsid w:val="6A3DD3E8"/>
    <w:multiLevelType w:val="hybridMultilevel"/>
    <w:lvl w:ilvl="0">
      <w:lvlJc w:val="left"/>
      <w:lvlText w:val="%1."/>
      <w:numFmt w:val="lowerRoman"/>
      <w:start w:val="2"/>
    </w:lvl>
  </w:abstractNum>
  <w:abstractNum w:abstractNumId="69">
    <w:nsid w:val="71C91298"/>
    <w:multiLevelType w:val="hybridMultilevel"/>
    <w:lvl w:ilvl="0">
      <w:lvlJc w:val="left"/>
      <w:lvlText w:val="%1."/>
      <w:numFmt w:val="lowerRoman"/>
      <w:start w:val="3"/>
    </w:lvl>
  </w:abstractNum>
  <w:abstractNum w:abstractNumId="70">
    <w:nsid w:val="9DAF632"/>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6"/>
    </w:lvl>
  </w:abstractNum>
  <w:abstractNum w:abstractNumId="71">
    <w:nsid w:val="53299938"/>
    <w:multiLevelType w:val="hybridMultilevel"/>
    <w:lvl w:ilvl="0">
      <w:lvlJc w:val="left"/>
      <w:lvlText w:val="%1"/>
      <w:numFmt w:val="upperLetter"/>
      <w:start w:val="1"/>
    </w:lvl>
    <w:lvl w:ilvl="1">
      <w:lvlJc w:val="left"/>
      <w:lvlText w:val="%2)"/>
      <w:numFmt w:val="lowerLetter"/>
      <w:start w:val="5"/>
    </w:lvl>
    <w:lvl w:ilvl="2">
      <w:lvlJc w:val="left"/>
      <w:lvlText w:val="%3"/>
      <w:numFmt w:val="lowerRoman"/>
      <w:start w:val="1"/>
    </w:lvl>
  </w:abstractNum>
  <w:abstractNum w:abstractNumId="72">
    <w:nsid w:val="1FBFE8E0"/>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73">
    <w:nsid w:val="5092CA79"/>
    <w:multiLevelType w:val="hybridMultilevel"/>
    <w:lvl w:ilvl="0">
      <w:lvlJc w:val="left"/>
      <w:lvlText w:val="%1)"/>
      <w:numFmt w:val="lowerLetter"/>
      <w:start w:val="1"/>
    </w:lvl>
  </w:abstractNum>
  <w:abstractNum w:abstractNumId="74">
    <w:nsid w:val="1D545C4D"/>
    <w:multiLevelType w:val="hybridMultilevel"/>
    <w:lvl w:ilvl="0">
      <w:lvlJc w:val="left"/>
      <w:lvlText w:val="%1"/>
      <w:numFmt w:val="lowerRoman"/>
      <w:start w:val="1"/>
    </w:lvl>
    <w:lvl w:ilvl="1">
      <w:lvlJc w:val="left"/>
      <w:lvlText w:val="%2)"/>
      <w:numFmt w:val="lowerLetter"/>
      <w:start w:val="4"/>
    </w:lvl>
  </w:abstractNum>
  <w:abstractNum w:abstractNumId="75">
    <w:nsid w:val="59ADEA3D"/>
    <w:multiLevelType w:val="hybridMultilevel"/>
    <w:lvl w:ilvl="0">
      <w:lvlJc w:val="left"/>
      <w:lvlText w:val="(%1)"/>
      <w:numFmt w:val="lowerRoman"/>
      <w:start w:val="2"/>
    </w:lvl>
    <w:lvl w:ilvl="1">
      <w:lvlJc w:val="left"/>
      <w:lvlText w:val="%2"/>
      <w:numFmt w:val="lowerLetter"/>
      <w:start w:val="1"/>
    </w:lvl>
  </w:abstractNum>
  <w:abstractNum w:abstractNumId="76">
    <w:nsid w:val="288F1A34"/>
    <w:multiLevelType w:val="hybridMultilevel"/>
    <w:lvl w:ilvl="0">
      <w:lvlJc w:val="left"/>
      <w:lvlText w:val="%1)"/>
      <w:numFmt w:val="lowerLetter"/>
      <w:start w:val="5"/>
    </w:lvl>
    <w:lvl w:ilvl="1">
      <w:lvlJc w:val="left"/>
      <w:lvlText w:val="%2."/>
      <w:numFmt w:val="lowerRoman"/>
      <w:start w:val="1"/>
    </w:lvl>
  </w:abstractNum>
  <w:abstractNum w:abstractNumId="77">
    <w:nsid w:val="2A155DBC"/>
    <w:multiLevelType w:val="hybridMultilevel"/>
    <w:lvl w:ilvl="0">
      <w:lvlJc w:val="left"/>
      <w:lvlText w:val="%1)"/>
      <w:numFmt w:val="lowerLetter"/>
      <w:start w:val="1"/>
    </w:lvl>
  </w:abstractNum>
  <w:abstractNum w:abstractNumId="78">
    <w:nsid w:val="1D9F6E5F"/>
    <w:multiLevelType w:val="hybridMultilevel"/>
    <w:lvl w:ilvl="0">
      <w:lvlJc w:val="left"/>
      <w:lvlText w:val="%1)"/>
      <w:numFmt w:val="lowerLetter"/>
      <w:start w:val="4"/>
    </w:lvl>
  </w:abstractNum>
  <w:abstractNum w:abstractNumId="79">
    <w:nsid w:val="97E1B4E"/>
    <w:multiLevelType w:val="hybridMultilevel"/>
    <w:lvl w:ilvl="0">
      <w:lvlJc w:val="left"/>
      <w:lvlText w:val="%1)"/>
      <w:numFmt w:val="lowerLetter"/>
      <w:start w:val="1"/>
    </w:lvl>
  </w:abstractNum>
  <w:abstractNum w:abstractNumId="80">
    <w:nsid w:val="51088277"/>
    <w:multiLevelType w:val="hybridMultilevel"/>
    <w:lvl w:ilvl="0">
      <w:lvlJc w:val="left"/>
      <w:lvlText w:val="%1)"/>
      <w:numFmt w:val="lowerLetter"/>
      <w:start w:val="5"/>
    </w:lvl>
  </w:abstractNum>
  <w:abstractNum w:abstractNumId="81">
    <w:nsid w:val="1CA0C5FA"/>
    <w:multiLevelType w:val="hybridMultilevel"/>
    <w:lvl w:ilvl="0">
      <w:lvlJc w:val="left"/>
      <w:lvlText w:val="%1)"/>
      <w:numFmt w:val="lowerLetter"/>
      <w:start w:val="8"/>
    </w:lvl>
  </w:abstractNum>
  <w:abstractNum w:abstractNumId="82">
    <w:nsid w:val="53584BCB"/>
    <w:multiLevelType w:val="hybridMultilevel"/>
    <w:lvl w:ilvl="0">
      <w:lvlJc w:val="left"/>
      <w:lvlText w:val="(%1)"/>
      <w:numFmt w:val="decimal"/>
      <w:start w:val="1"/>
    </w:lvl>
    <w:lvl w:ilvl="1">
      <w:lvlJc w:val="left"/>
      <w:lvlText w:val="☐"/>
      <w:numFmt w:val="bullet"/>
      <w:start w:val="1"/>
    </w:lvl>
  </w:abstractNum>
  <w:abstractNum w:abstractNumId="83">
    <w:nsid w:val="415E286C"/>
    <w:multiLevelType w:val="hybridMultilevel"/>
    <w:lvl w:ilvl="0">
      <w:lvlJc w:val="left"/>
      <w:lvlText w:val="(%1)"/>
      <w:numFmt w:val="decimal"/>
      <w:start w:val="4"/>
    </w:lvl>
  </w:abstractNum>
  <w:abstractNum w:abstractNumId="84">
    <w:nsid w:val="7C58FD05"/>
    <w:multiLevelType w:val="hybridMultilevel"/>
    <w:lvl w:ilvl="0">
      <w:lvlJc w:val="left"/>
      <w:lvlText w:val="(%1)"/>
      <w:numFmt w:val="lowerLetter"/>
      <w:start w:val="1"/>
    </w:lvl>
    <w:lvl w:ilvl="1">
      <w:lvlJc w:val="left"/>
      <w:lvlText w:val="(%2)"/>
      <w:numFmt w:val="lowerRoman"/>
      <w:start w:val="1"/>
    </w:lvl>
  </w:abstractNum>
  <w:abstractNum w:abstractNumId="85">
    <w:nsid w:val="23D86AAC"/>
    <w:multiLevelType w:val="hybridMultilevel"/>
    <w:lvl w:ilvl="0">
      <w:lvlJc w:val="left"/>
      <w:lvlText w:val="(%1)"/>
      <w:numFmt w:val="lowerLetter"/>
      <w:start w:val="2"/>
    </w:lvl>
    <w:lvl w:ilvl="1">
      <w:lvlJc w:val="left"/>
      <w:lvlText w:val="(%2)"/>
      <w:numFmt w:val="lowerRoman"/>
      <w:start w:val="1"/>
    </w:lvl>
  </w:abstractNum>
  <w:abstractNum w:abstractNumId="86">
    <w:nsid w:val="45E6D486"/>
    <w:multiLevelType w:val="hybridMultilevel"/>
    <w:lvl w:ilvl="0">
      <w:lvlJc w:val="left"/>
      <w:lvlText w:val="(%1)"/>
      <w:numFmt w:val="lowerLetter"/>
      <w:start w:val="1"/>
    </w:lvl>
    <w:lvl w:ilvl="1">
      <w:lvlJc w:val="left"/>
      <w:lvlText w:val="(%2)"/>
      <w:numFmt w:val="lowerRoman"/>
      <w:start w:val="1"/>
    </w:lvl>
  </w:abstractNum>
  <w:abstractNum w:abstractNumId="87">
    <w:nsid w:val="5C10FE21"/>
    <w:multiLevelType w:val="hybridMultilevel"/>
    <w:lvl w:ilvl="0">
      <w:lvlJc w:val="left"/>
      <w:lvlText w:val="(%1)"/>
      <w:numFmt w:val="lowerRoman"/>
      <w:start w:val="2"/>
    </w:lvl>
  </w:abstractNum>
  <w:abstractNum w:abstractNumId="88">
    <w:nsid w:val="E7FFA2B"/>
    <w:multiLevelType w:val="hybridMultilevel"/>
    <w:lvl w:ilvl="0">
      <w:lvlJc w:val="left"/>
      <w:lvlText w:val="(%1)"/>
      <w:numFmt w:val="lowerLetter"/>
      <w:start w:val="1"/>
    </w:lvl>
  </w:abstractNum>
  <w:abstractNum w:abstractNumId="89">
    <w:nsid w:val="3C5991AA"/>
    <w:multiLevelType w:val="hybridMultilevel"/>
    <w:lvl w:ilvl="0">
      <w:lvlJc w:val="left"/>
      <w:lvlText w:val="(%1)"/>
      <w:numFmt w:val="lowerLetter"/>
      <w:start w:val="3"/>
    </w:lvl>
  </w:abstractNum>
  <w:abstractNum w:abstractNumId="90">
    <w:nsid w:val="4BD8591A"/>
    <w:multiLevelType w:val="hybridMultilevel"/>
    <w:lvl w:ilvl="0">
      <w:lvlJc w:val="left"/>
      <w:lvlText w:val="(%1)"/>
      <w:numFmt w:val="lowerLetter"/>
      <w:start w:val="6"/>
    </w:lvl>
  </w:abstractNum>
  <w:abstractNum w:abstractNumId="91">
    <w:nsid w:val="78DF6A55"/>
    <w:multiLevelType w:val="hybridMultilevel"/>
    <w:lvl w:ilvl="0">
      <w:lvlJc w:val="left"/>
      <w:lvlText w:val="%1"/>
      <w:numFmt w:val="upperLetter"/>
      <w:start w:val="1"/>
    </w:lvl>
    <w:lvl w:ilvl="1">
      <w:lvlJc w:val="left"/>
      <w:lvlText w:val="(%2)"/>
      <w:numFmt w:val="lowerLetter"/>
      <w:start w:val="9"/>
    </w:lvl>
  </w:abstractNum>
  <w:abstractNum w:abstractNumId="92">
    <w:nsid w:val="39B7AAA2"/>
    <w:multiLevelType w:val="hybridMultilevel"/>
    <w:lvl w:ilvl="0">
      <w:lvlJc w:val="left"/>
      <w:lvlText w:val="(%1)"/>
      <w:numFmt w:val="upperLetter"/>
      <w:start w:val="1"/>
    </w:lvl>
    <w:lvl w:ilvl="1">
      <w:lvlJc w:val="left"/>
      <w:lvlText w:val="(%2)"/>
      <w:numFmt w:val="lowerLetter"/>
      <w:start w:val="10"/>
    </w:lvl>
  </w:abstractNum>
  <w:abstractNum w:abstractNumId="93">
    <w:nsid w:val="2B0D8DBE"/>
    <w:multiLevelType w:val="hybridMultilevel"/>
    <w:lvl w:ilvl="0">
      <w:lvlJc w:val="left"/>
      <w:lvlText w:val="(%1)"/>
      <w:numFmt w:val="lowerLetter"/>
      <w:start w:val="12"/>
    </w:lvl>
  </w:abstractNum>
  <w:abstractNum w:abstractNumId="94">
    <w:nsid w:val="6C80EC70"/>
    <w:multiLevelType w:val="hybridMultilevel"/>
    <w:lvl w:ilvl="0">
      <w:lvlJc w:val="left"/>
      <w:lvlText w:val="(%1)"/>
      <w:numFmt w:val="lowerLetter"/>
      <w:start w:val="16"/>
    </w:lvl>
  </w:abstractNum>
  <w:abstractNum w:abstractNumId="95">
    <w:nsid w:val="379E21B5"/>
    <w:multiLevelType w:val="hybridMultilevel"/>
    <w:lvl w:ilvl="0">
      <w:lvlJc w:val="left"/>
      <w:lvlText w:val="(%1)"/>
      <w:numFmt w:val="lowerLetter"/>
      <w:start w:val="20"/>
    </w:lvl>
  </w:abstractNum>
  <w:abstractNum w:abstractNumId="96">
    <w:nsid w:val="69E373"/>
    <w:multiLevelType w:val="hybridMultilevel"/>
    <w:lvl w:ilvl="0">
      <w:lvlJc w:val="left"/>
      <w:lvlText w:val="(%1)"/>
      <w:numFmt w:val="lowerLetter"/>
      <w:start w:val="25"/>
    </w:lvl>
  </w:abstractNum>
  <w:abstractNum w:abstractNumId="97">
    <w:nsid w:val="2C27173B"/>
    <w:multiLevelType w:val="hybridMultilevel"/>
    <w:lvl w:ilvl="0">
      <w:lvlJc w:val="left"/>
      <w:lvlText w:val="%1"/>
      <w:numFmt w:val="lowerLetter"/>
      <w:start w:val="1"/>
    </w:lvl>
    <w:lvl w:ilvl="1">
      <w:lvlJc w:val="left"/>
      <w:lvlText w:val="(%2)"/>
      <w:numFmt w:val="lowerLetter"/>
      <w:start w:val="27"/>
    </w:lvl>
  </w:abstractNum>
  <w:abstractNum w:abstractNumId="98">
    <w:nsid w:val="4C9B0904"/>
    <w:multiLevelType w:val="hybridMultilevel"/>
    <w:lvl w:ilvl="0">
      <w:lvlJc w:val="left"/>
      <w:lvlText w:val="(%1)"/>
      <w:numFmt w:val="lowerLetter"/>
      <w:start w:val="35"/>
    </w:lvl>
    <w:lvl w:ilvl="1">
      <w:lvlJc w:val="left"/>
      <w:lvlText w:val="%2"/>
      <w:numFmt w:val="lowerLetter"/>
      <w:start w:val="1"/>
    </w:lvl>
  </w:abstractNum>
  <w:abstractNum w:abstractNumId="99">
    <w:nsid w:val="6AA7B75C"/>
    <w:multiLevelType w:val="hybridMultilevel"/>
    <w:lvl w:ilvl="0">
      <w:lvlJc w:val="left"/>
      <w:lvlText w:val="%1"/>
      <w:numFmt w:val="lowerLetter"/>
      <w:start w:val="1"/>
    </w:lvl>
    <w:lvl w:ilvl="1">
      <w:lvlJc w:val="left"/>
      <w:lvlText w:val="(%2)"/>
      <w:numFmt w:val="lowerLetter"/>
      <w:start w:val="29"/>
    </w:lvl>
  </w:abstractNum>
  <w:abstractNum w:abstractNumId="100">
    <w:nsid w:val="1DF029D3"/>
    <w:multiLevelType w:val="hybridMultilevel"/>
    <w:lvl w:ilvl="0">
      <w:lvlJc w:val="left"/>
      <w:lvlText w:val="(%1)"/>
      <w:numFmt w:val="lowerLetter"/>
      <w:start w:val="61"/>
    </w:lvl>
    <w:lvl w:ilvl="1">
      <w:lvlJc w:val="left"/>
      <w:lvlText w:val="(%2)"/>
      <w:numFmt w:val="lowerLetter"/>
      <w:start w:val="30"/>
    </w:lvl>
  </w:abstractNum>
  <w:abstractNum w:abstractNumId="101">
    <w:nsid w:val="5675FF36"/>
    <w:multiLevelType w:val="hybridMultilevel"/>
    <w:lvl w:ilvl="0">
      <w:lvlJc w:val="left"/>
      <w:lvlText w:val="(%1)"/>
      <w:numFmt w:val="lowerLetter"/>
      <w:start w:val="35"/>
    </w:lvl>
  </w:abstractNum>
  <w:abstractNum w:abstractNumId="102">
    <w:nsid w:val="3DD15094"/>
    <w:multiLevelType w:val="hybridMultilevel"/>
    <w:lvl w:ilvl="0">
      <w:lvlJc w:val="left"/>
      <w:lvlText w:val="(%1)"/>
      <w:numFmt w:val="lowerLetter"/>
      <w:start w:val="39"/>
    </w:lvl>
  </w:abstractNum>
  <w:abstractNum w:abstractNumId="103">
    <w:nsid w:val="3DB012B3"/>
    <w:multiLevelType w:val="hybridMultilevel"/>
    <w:lvl w:ilvl="0">
      <w:lvlJc w:val="left"/>
      <w:lvlText w:val="(%1)"/>
      <w:numFmt w:val="lowerLetter"/>
      <w:start w:val="43"/>
    </w:lvl>
  </w:abstractNum>
  <w:abstractNum w:abstractNumId="104">
    <w:nsid w:val="2708C9AF"/>
    <w:multiLevelType w:val="hybridMultilevel"/>
    <w:lvl w:ilvl="0">
      <w:lvlJc w:val="left"/>
      <w:lvlText w:val="%1"/>
      <w:numFmt w:val="decimal"/>
      <w:start w:val="1"/>
    </w:lvl>
    <w:lvl w:ilvl="1">
      <w:lvlJc w:val="left"/>
      <w:lvlText w:val="(%2)"/>
      <w:numFmt w:val="lowerLetter"/>
      <w:start w:val="1"/>
    </w:lvl>
  </w:abstractNum>
  <w:abstractNum w:abstractNumId="105">
    <w:nsid w:val="5B25ACE2"/>
    <w:multiLevelType w:val="hybridMultilevel"/>
    <w:lvl w:ilvl="0">
      <w:lvlJc w:val="left"/>
      <w:lvlText w:val="(%1)"/>
      <w:numFmt w:val="decimal"/>
      <w:start w:val="13"/>
    </w:lvl>
    <w:lvl w:ilvl="1">
      <w:lvlJc w:val="left"/>
      <w:lvlText w:val="(%2)"/>
      <w:numFmt w:val="lowerLetter"/>
      <w:start w:val="4"/>
    </w:lvl>
  </w:abstractNum>
  <w:abstractNum w:abstractNumId="106">
    <w:nsid w:val="175DFCF0"/>
    <w:multiLevelType w:val="hybridMultilevel"/>
    <w:lvl w:ilvl="0">
      <w:lvlJc w:val="left"/>
      <w:lvlText w:val="(%1)"/>
      <w:numFmt w:val="lowerLetter"/>
      <w:start w:val="5"/>
    </w:lvl>
  </w:abstractNum>
  <w:abstractNum w:abstractNumId="107">
    <w:nsid w:val="4F97E3E4"/>
    <w:multiLevelType w:val="hybridMultilevel"/>
    <w:lvl w:ilvl="0">
      <w:lvlJc w:val="left"/>
      <w:lvlText w:val="(%1)"/>
      <w:numFmt w:val="lowerLetter"/>
      <w:start w:val="1"/>
    </w:lvl>
  </w:abstractNum>
  <w:abstractNum w:abstractNumId="108">
    <w:nsid w:val="53B0A9E"/>
    <w:multiLevelType w:val="hybridMultilevel"/>
    <w:lvl w:ilvl="0">
      <w:lvlJc w:val="left"/>
      <w:lvlText w:val="(%1)"/>
      <w:numFmt w:val="decimal"/>
      <w:start w:val="3"/>
    </w:lvl>
  </w:abstractNum>
  <w:abstractNum w:abstractNumId="109">
    <w:nsid w:val="34FD6B4F"/>
    <w:multiLevelType w:val="hybridMultilevel"/>
    <w:lvl w:ilvl="0">
      <w:lvlJc w:val="left"/>
      <w:lvlText w:val="(%1)"/>
      <w:numFmt w:val="lowerLetter"/>
      <w:start w:val="3"/>
    </w:lvl>
  </w:abstractNum>
  <w:abstractNum w:abstractNumId="110">
    <w:nsid w:val="5915FF32"/>
    <w:multiLevelType w:val="hybridMultilevel"/>
    <w:lvl w:ilvl="0">
      <w:lvlJc w:val="left"/>
      <w:lvlText w:val="(%1)"/>
      <w:numFmt w:val="lowerLetter"/>
      <w:start w:val="5"/>
    </w:lvl>
  </w:abstractNum>
  <w:abstractNum w:abstractNumId="111">
    <w:nsid w:val="56438D15"/>
    <w:multiLevelType w:val="hybridMultilevel"/>
    <w:lvl w:ilvl="0">
      <w:lvlJc w:val="left"/>
      <w:lvlText w:val="(%1)"/>
      <w:numFmt w:val="lowerLetter"/>
      <w:start w:val="1"/>
    </w:lvl>
  </w:abstractNum>
  <w:abstractNum w:abstractNumId="112">
    <w:nsid w:val="519E3149"/>
    <w:multiLevelType w:val="hybridMultilevel"/>
    <w:lvl w:ilvl="0">
      <w:lvlJc w:val="left"/>
      <w:lvlText w:val="(%1)"/>
      <w:numFmt w:val="lowerLetter"/>
      <w:start w:val="1"/>
    </w:lvl>
  </w:abstractNum>
  <w:abstractNum w:abstractNumId="113">
    <w:nsid w:val="2C6E4AFD"/>
    <w:multiLevelType w:val="hybridMultilevel"/>
    <w:lvl w:ilvl="0">
      <w:lvlJc w:val="left"/>
      <w:lvlText w:val="%1."/>
      <w:numFmt w:val="decimal"/>
      <w:start w:val="1"/>
    </w:lvl>
  </w:abstractNum>
  <w:abstractNum w:abstractNumId="114">
    <w:nsid w:val="17A1B582"/>
    <w:multiLevelType w:val="hybridMultilevel"/>
    <w:lvl w:ilvl="0">
      <w:lvlJc w:val="left"/>
      <w:lvlText w:val="%1."/>
      <w:numFmt w:val="decimal"/>
      <w:start w:val="2"/>
    </w:lvl>
    <w:lvl w:ilvl="1">
      <w:lvlJc w:val="left"/>
      <w:lvlText w:val="(%2)"/>
      <w:numFmt w:val="lowerLetter"/>
      <w:start w:val="1"/>
    </w:lvl>
  </w:abstractNum>
  <w:abstractNum w:abstractNumId="115">
    <w:nsid w:val="4DF72E4E"/>
    <w:multiLevelType w:val="hybridMultilevel"/>
    <w:lvl w:ilvl="0">
      <w:lvlJc w:val="left"/>
      <w:lvlText w:val="(%1)"/>
      <w:numFmt w:val="lowerLetter"/>
      <w:start w:val="2"/>
    </w:lvl>
  </w:abstractNum>
  <w:abstractNum w:abstractNumId="116">
    <w:nsid w:val="5046B5A9"/>
    <w:multiLevelType w:val="hybridMultilevel"/>
    <w:lvl w:ilvl="0">
      <w:lvlJc w:val="left"/>
      <w:lvlText w:val="%1."/>
      <w:numFmt w:val="lowerLetter"/>
      <w:start w:val="1"/>
    </w:lvl>
  </w:abstractNum>
  <w:abstractNum w:abstractNumId="117">
    <w:nsid w:val="5D888A08"/>
    <w:multiLevelType w:val="hybridMultilevel"/>
    <w:lvl w:ilvl="0">
      <w:lvlJc w:val="left"/>
      <w:lvlText w:val="%1"/>
      <w:numFmt w:val="lowerRoman"/>
      <w:start w:val="1"/>
    </w:lvl>
    <w:lvl w:ilvl="1">
      <w:lvlJc w:val="left"/>
      <w:lvlText w:val="(%2)"/>
      <w:numFmt w:val="lowerLetter"/>
      <w:start w:val="4"/>
    </w:lvl>
  </w:abstractNum>
  <w:abstractNum w:abstractNumId="118">
    <w:nsid w:val="2A082C70"/>
    <w:multiLevelType w:val="hybridMultilevel"/>
    <w:lvl w:ilvl="0">
      <w:lvlJc w:val="left"/>
      <w:lvlText w:val="(%1)"/>
      <w:numFmt w:val="lowerRoman"/>
      <w:start w:val="4"/>
    </w:lvl>
    <w:lvl w:ilvl="1">
      <w:lvlJc w:val="left"/>
      <w:lvlText w:val="%2"/>
      <w:numFmt w:val="lowerLetter"/>
      <w:start w:val="1"/>
    </w:lvl>
  </w:abstractNum>
  <w:abstractNum w:abstractNumId="119">
    <w:nsid w:val="5EC6AFD4"/>
    <w:multiLevelType w:val="hybridMultilevel"/>
    <w:lvl w:ilvl="0">
      <w:lvlJc w:val="left"/>
      <w:lvlText w:val="(%1)"/>
      <w:numFmt w:val="lowerRoman"/>
      <w:start w:val="2"/>
    </w:lvl>
    <w:lvl w:ilvl="1">
      <w:lvlJc w:val="left"/>
      <w:lvlText w:val="(%2)"/>
      <w:numFmt w:val="lowerLetter"/>
      <w:start w:val="5"/>
    </w:lvl>
  </w:abstractNum>
  <w:abstractNum w:abstractNumId="120">
    <w:nsid w:val="19E21BB2"/>
    <w:multiLevelType w:val="hybridMultilevel"/>
    <w:lvl w:ilvl="0">
      <w:lvlJc w:val="left"/>
      <w:lvlText w:val="%1."/>
      <w:numFmt w:val="decimal"/>
      <w:start w:val="3"/>
    </w:lvl>
  </w:abstractNum>
  <w:abstractNum w:abstractNumId="121">
    <w:nsid w:val="75E0858A"/>
    <w:multiLevelType w:val="hybridMultilevel"/>
    <w:lvl w:ilvl="0">
      <w:lvlJc w:val="left"/>
      <w:lvlText w:val="(%1)"/>
      <w:numFmt w:val="lowerLetter"/>
      <w:start w:val="1"/>
    </w:lvl>
  </w:abstractNum>
  <w:abstractNum w:abstractNumId="122">
    <w:nsid w:val="57A61A29"/>
    <w:multiLevelType w:val="hybridMultilevel"/>
    <w:lvl w:ilvl="0">
      <w:lvlJc w:val="left"/>
      <w:lvlText w:val="%1"/>
      <w:numFmt w:val="lowerLetter"/>
      <w:start w:val="1"/>
    </w:lvl>
    <w:lvl w:ilvl="1">
      <w:lvlJc w:val="left"/>
      <w:lvlText w:val="(%2)"/>
      <w:numFmt w:val="lowerLetter"/>
      <w:start w:val="2"/>
    </w:lvl>
  </w:abstractNum>
  <w:abstractNum w:abstractNumId="123">
    <w:nsid w:val="5399C654"/>
    <w:multiLevelType w:val="hybridMultilevel"/>
    <w:lvl w:ilvl="0">
      <w:lvlJc w:val="left"/>
      <w:lvlText w:val="(%1)"/>
      <w:numFmt w:val="lowerLetter"/>
      <w:start w:val="61"/>
    </w:lvl>
    <w:lvl w:ilvl="1">
      <w:lvlJc w:val="left"/>
      <w:lvlText w:val="(%2)"/>
      <w:numFmt w:val="lowerLetter"/>
      <w:start w:val="3"/>
    </w:lvl>
  </w:abstractNum>
  <w:abstractNum w:abstractNumId="124">
    <w:nsid w:val="20EE1348"/>
    <w:multiLevelType w:val="hybridMultilevel"/>
    <w:lvl w:ilvl="0">
      <w:lvlJc w:val="left"/>
      <w:lvlText w:val="(%1)"/>
      <w:numFmt w:val="lowerLetter"/>
      <w:start w:val="4"/>
    </w:lvl>
  </w:abstractNum>
  <w:abstractNum w:abstractNumId="125">
    <w:nsid w:val="4427069A"/>
    <w:multiLevelType w:val="hybridMultilevel"/>
    <w:lvl w:ilvl="0">
      <w:lvlJc w:val="left"/>
      <w:lvlText w:val="(%1)"/>
      <w:numFmt w:val="lowerLetter"/>
      <w:start w:val="9"/>
    </w:lvl>
  </w:abstractNum>
  <w:abstractNum w:abstractNumId="126">
    <w:nsid w:val="B37E80A"/>
    <w:multiLevelType w:val="hybridMultilevel"/>
    <w:lvl w:ilvl="0">
      <w:lvlJc w:val="left"/>
      <w:lvlText w:val="%1."/>
      <w:numFmt w:val="decimal"/>
      <w:start w:val="4"/>
    </w:lvl>
    <w:lvl w:ilvl="1">
      <w:lvlJc w:val="left"/>
      <w:lvlText w:val="(%2)"/>
      <w:numFmt w:val="lowerLetter"/>
      <w:start w:val="1"/>
    </w:lvl>
  </w:abstractNum>
  <w:abstractNum w:abstractNumId="127">
    <w:nsid w:val="2157F6BC"/>
    <w:multiLevelType w:val="hybridMultilevel"/>
    <w:lvl w:ilvl="0">
      <w:lvlJc w:val="left"/>
      <w:lvlText w:val="(%1)"/>
      <w:numFmt w:val="lowerLetter"/>
      <w:start w:val="2"/>
    </w:lvl>
  </w:abstractNum>
  <w:abstractNum w:abstractNumId="128">
    <w:nsid w:val="704E1DD5"/>
    <w:multiLevelType w:val="hybridMultilevel"/>
    <w:lvl w:ilvl="0">
      <w:lvlJc w:val="left"/>
      <w:lvlText w:val="(%1)"/>
      <w:numFmt w:val="lowerLetter"/>
      <w:start w:val="4"/>
    </w:lvl>
  </w:abstractNum>
  <w:abstractNum w:abstractNumId="129">
    <w:nsid w:val="57D2F10E"/>
    <w:multiLevelType w:val="hybridMultilevel"/>
    <w:lvl w:ilvl="0">
      <w:lvlJc w:val="left"/>
      <w:lvlText w:val="%1."/>
      <w:numFmt w:val="decimal"/>
      <w:start w:val="6"/>
    </w:lvl>
    <w:lvl w:ilvl="1">
      <w:lvlJc w:val="left"/>
      <w:lvlText w:val="(%2)"/>
      <w:numFmt w:val="lowerLetter"/>
      <w:start w:val="1"/>
    </w:lvl>
  </w:abstractNum>
  <w:abstractNum w:abstractNumId="130">
    <w:nsid w:val="BFFAE18"/>
    <w:multiLevelType w:val="hybridMultilevel"/>
    <w:lvl w:ilvl="0">
      <w:lvlJc w:val="left"/>
      <w:lvlText w:val="(%1)"/>
      <w:numFmt w:val="lowerLetter"/>
      <w:start w:val="4"/>
    </w:lvl>
  </w:abstractNum>
  <w:abstractNum w:abstractNumId="131">
    <w:nsid w:val="E3E47A8"/>
    <w:multiLevelType w:val="hybridMultilevel"/>
    <w:lvl w:ilvl="0">
      <w:lvlJc w:val="left"/>
      <w:lvlText w:val="(%1)"/>
      <w:numFmt w:val="lowerLetter"/>
      <w:start w:val="8"/>
    </w:lvl>
  </w:abstractNum>
  <w:abstractNum w:abstractNumId="132">
    <w:nsid w:val="2E48F044"/>
    <w:multiLevelType w:val="hybridMultilevel"/>
    <w:lvl w:ilvl="0">
      <w:lvlJc w:val="left"/>
      <w:lvlText w:val="●"/>
      <w:numFmt w:val="bullet"/>
      <w:start w:val="1"/>
    </w:lvl>
  </w:abstractNum>
  <w:abstractNum w:abstractNumId="133">
    <w:nsid w:val="49D0FEAC"/>
    <w:multiLevelType w:val="hybridMultilevel"/>
    <w:lvl w:ilvl="0">
      <w:lvlJc w:val="left"/>
      <w:lvlText w:val="%1."/>
      <w:numFmt w:val="decimal"/>
      <w:start w:val="1"/>
    </w:lvl>
    <w:lvl w:ilvl="1">
      <w:lvlJc w:val="left"/>
      <w:lvlText w:val="(%2)"/>
      <w:numFmt w:val="lowerLetter"/>
      <w:start w:val="1"/>
    </w:lvl>
  </w:abstractNum>
  <w:abstractNum w:abstractNumId="134">
    <w:nsid w:val="4BEE5A5B"/>
    <w:multiLevelType w:val="hybridMultilevel"/>
    <w:lvl w:ilvl="0">
      <w:lvlJc w:val="left"/>
      <w:lvlText w:val="%1."/>
      <w:numFmt w:val="decimal"/>
      <w:start w:val="3"/>
    </w:lvl>
    <w:lvl w:ilvl="1">
      <w:lvlJc w:val="left"/>
      <w:lvlText w:val="(%2)"/>
      <w:numFmt w:val="lowerLetter"/>
      <w:start w:val="1"/>
    </w:lvl>
  </w:abstractNum>
  <w:abstractNum w:abstractNumId="135">
    <w:nsid w:val="5551B9F3"/>
    <w:multiLevelType w:val="hybridMultilevel"/>
    <w:lvl w:ilvl="0">
      <w:lvlJc w:val="left"/>
      <w:lvlText w:val="(%1)"/>
      <w:numFmt w:val="lowerLetter"/>
      <w:start w:val="2"/>
    </w:lvl>
  </w:abstractNum>
  <w:abstractNum w:abstractNumId="136">
    <w:nsid w:val="24F6AB8E"/>
    <w:multiLevelType w:val="hybridMultilevel"/>
    <w:lvl w:ilvl="0">
      <w:lvlJc w:val="left"/>
      <w:lvlText w:val="(%1)"/>
      <w:numFmt w:val="lowerLetter"/>
      <w:start w:val="3"/>
    </w:lvl>
  </w:abstractNum>
  <w:abstractNum w:abstractNumId="137">
    <w:nsid w:val="634C574C"/>
    <w:multiLevelType w:val="hybridMultilevel"/>
    <w:lvl w:ilvl="0">
      <w:lvlJc w:val="left"/>
      <w:lvlText w:val="(%1)"/>
      <w:numFmt w:val="lowerLetter"/>
      <w:start w:val="4"/>
    </w:lvl>
  </w:abstractNum>
  <w:abstractNum w:abstractNumId="138">
    <w:nsid w:val="24E99DD7"/>
    <w:multiLevelType w:val="hybridMultilevel"/>
    <w:lvl w:ilvl="0">
      <w:lvlJc w:val="left"/>
      <w:lvlText w:val="%1."/>
      <w:numFmt w:val="decimal"/>
      <w:start w:val="4"/>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2026-06-08T16:19:11Z</dcterms:created>
  <dcterms:modified xsi:type="dcterms:W3CDTF">2026-06-08T16:19:11Z</dcterms:modified>
</cp:coreProperties>
</file>