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Bluejay Diagnostics,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Ayrton Capital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107,722.00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107,722.00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107,722.00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9.99 %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Alto Opportunity Master Fund, SPC - Segregated Master Portfolio B</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107,722.00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107,722.00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107,722.00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9.99 %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Waqas Khatri</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107,722.00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107,722.00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107,722.00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9.99 %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49"/>
        <w:gridCol w:w="8901"/>
        <w:gridCol w:w="155"/>
      </w:tblGrid>
      <w:tr>
        <w:trPr/>
        <w:tc>
          <w:tcPr>
            <w:tcW w:w="1149" w:type="dxa"/>
            <w:tcBorders/>
            <w:vAlign w:val="center"/>
          </w:tcPr>
          <w:p>
            <w:pPr>
              <w:pStyle w:val="TableContents"/>
              <w:bidi w:val="0"/>
              <w:spacing w:before="0" w:after="283"/>
              <w:jc w:val="left"/>
              <w:rPr/>
            </w:pPr>
            <w:r>
              <w:rPr/>
              <w:t>Item 1.</w:t>
            </w:r>
          </w:p>
        </w:tc>
        <w:tc>
          <w:tcPr>
            <w:tcW w:w="890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(a)</w:t>
            </w:r>
          </w:p>
        </w:tc>
        <w:tc>
          <w:tcPr>
            <w:tcW w:w="8901" w:type="dxa"/>
            <w:tcBorders/>
            <w:vAlign w:val="center"/>
          </w:tcPr>
          <w:p>
            <w:pPr>
              <w:pStyle w:val="TableContents"/>
              <w:bidi w:val="0"/>
              <w:jc w:val="left"/>
              <w:rPr/>
            </w:pPr>
            <w:r>
              <w:rPr/>
              <w:t xml:space="preserve">Name of issuer: </w:t>
            </w:r>
          </w:p>
          <w:p>
            <w:pPr>
              <w:pStyle w:val="TableContents"/>
              <w:bidi w:val="0"/>
              <w:spacing w:before="0" w:after="0"/>
              <w:jc w:val="left"/>
              <w:rPr/>
            </w:pPr>
            <w:r>
              <w:rPr/>
              <w:t>Bluejay Diagnostics, Inc.</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(b)</w:t>
            </w:r>
          </w:p>
        </w:tc>
        <w:tc>
          <w:tcPr>
            <w:tcW w:w="890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360 Massachusetts Avenue, Suite 203, Acton, MA, 01720</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2.</w:t>
            </w:r>
          </w:p>
        </w:tc>
        <w:tc>
          <w:tcPr>
            <w:tcW w:w="890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(a)</w:t>
            </w:r>
          </w:p>
        </w:tc>
        <w:tc>
          <w:tcPr>
            <w:tcW w:w="8901" w:type="dxa"/>
            <w:tcBorders/>
            <w:vAlign w:val="center"/>
          </w:tcPr>
          <w:p>
            <w:pPr>
              <w:pStyle w:val="TableContents"/>
              <w:bidi w:val="0"/>
              <w:jc w:val="left"/>
              <w:rPr/>
            </w:pPr>
            <w:r>
              <w:rPr/>
              <w:t xml:space="preserve">Name of person filing: </w:t>
            </w:r>
          </w:p>
          <w:p>
            <w:pPr>
              <w:pStyle w:val="TableContents"/>
              <w:bidi w:val="0"/>
              <w:spacing w:before="0" w:after="0"/>
              <w:jc w:val="left"/>
              <w:rPr/>
            </w:pPr>
            <w:r>
              <w:rPr/>
              <w:t>(i) Ayrton Capital LLC; (ii) Alto Opportunity Master Fund, SPC - Segregated Master Portfolio B; and (iii) Waqas Khatri</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(b)</w:t>
            </w:r>
          </w:p>
        </w:tc>
        <w:tc>
          <w:tcPr>
            <w:tcW w:w="890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(i) Ayrton Capital LLC, 55 Post Rd West, 2nd Floor Westport, CT 06880; (ii) Alto Opportunity Master Fund, SPC - Segregated Master Portfolio B, Suite #7 Grand Pavilion Commercial Centre, 802 West Bay Road, Grand Cayman, P.O. Box 10250, Cayman Islands; and (iii) Waqas Khatri 55 Post Rd West, 2nd Floor Westport, CT 06880</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(c)</w:t>
            </w:r>
          </w:p>
        </w:tc>
        <w:tc>
          <w:tcPr>
            <w:tcW w:w="8901" w:type="dxa"/>
            <w:tcBorders/>
            <w:vAlign w:val="center"/>
          </w:tcPr>
          <w:p>
            <w:pPr>
              <w:pStyle w:val="TableContents"/>
              <w:bidi w:val="0"/>
              <w:jc w:val="left"/>
              <w:rPr/>
            </w:pPr>
            <w:r>
              <w:rPr/>
              <w:t xml:space="preserve">Citizenship: </w:t>
            </w:r>
          </w:p>
          <w:p>
            <w:pPr>
              <w:pStyle w:val="TableContents"/>
              <w:bidi w:val="0"/>
              <w:spacing w:before="0" w:after="0"/>
              <w:jc w:val="left"/>
              <w:rPr/>
            </w:pPr>
            <w:r>
              <w:rPr/>
              <w:t>(i) Ayrton Capital LLC: United States; (ii) Alto Opportunity Master Fund, SPC - Segregated Master Portfolio B: Cayman Islands; and (iii) Waqas Khatri: United States</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(d)</w:t>
            </w:r>
          </w:p>
        </w:tc>
        <w:tc>
          <w:tcPr>
            <w:tcW w:w="890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(e)</w:t>
            </w:r>
          </w:p>
        </w:tc>
        <w:tc>
          <w:tcPr>
            <w:tcW w:w="890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3.</w:t>
            </w:r>
          </w:p>
        </w:tc>
        <w:tc>
          <w:tcPr>
            <w:tcW w:w="890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(a)</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(b)</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(c)</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(d)</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(e)</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(f)</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(g)</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(h)</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(j)</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(k)</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9056" w:type="dxa"/>
            <w:gridSpan w:val="2"/>
            <w:tcBorders/>
            <w:vAlign w:val="center"/>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4.</w:t>
            </w:r>
          </w:p>
        </w:tc>
        <w:tc>
          <w:tcPr>
            <w:tcW w:w="890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(a)</w:t>
            </w:r>
          </w:p>
        </w:tc>
        <w:tc>
          <w:tcPr>
            <w:tcW w:w="890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Ayrton Capital LLC: 107,722; (ii) Alto Opportunity Master Fund, SPC - Segregated Master Portfolio B: 107,722; and (iii) Waqas Khatri: 107,722. Represents (i) 65,000 shares of Common Stock held by the Reporting Persons; and (ii) 42,722 shares of Common Stock issuable on the exercise of certain warrants (the "Warrants") held by the Reporting Persons. The issuable shares of Common Stock related to the exercise of the Warrants are subject to a 9.99% beneficial ownership blocker. The shares reported herein represent Common Stock of Bluejay Diagnostics, Inc. (the "Issuer") held by Alto Opportunity Master Fund, SPC- Segregated Master Portfolio B, a Cayman Islands exempted company (the "Fund"). The Fund is a private investment vehicle for which Ayrton Capital LLC, a Delaware limited liability company (the "Investment Manager"), serves as the investment manager. Waqas Khatri serves as the managing member of the Investment Manager (all of the foregoing, collectively,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(b)</w:t>
            </w:r>
          </w:p>
        </w:tc>
        <w:tc>
          <w:tcPr>
            <w:tcW w:w="890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The percentages below are based on (i) 1,034,715 shares of Common Stock of the Issuer that were outstanding as of May 4, 2026; and (ii) 42,722 shares of Common Stock issuable on the exercise of the Warrants held by the Reporting Persons. The amount of shares outstanding was based upon a statement in the Issuer's 10-Q filed on May 7, 2026. For the sake of clarity, the holdings of the Reporting Persons reported herein are as of June 30, 2026. (i) Ayrton Capital LLC: 9.99%; (ii) Alto Opportunity Master Fund, SPC - Segregated Master Portfolio B: 9.99%; and (iii) Waqas Khatri: 9.99%.  %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(c)</w:t>
            </w:r>
          </w:p>
        </w:tc>
        <w:tc>
          <w:tcPr>
            <w:tcW w:w="890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(i) Ayrton Capital LLC: 107,722; (ii) Alto Opportunity Master Fund, SPC - Segregated Master Portfolio B: 107,722; and (iii) Waqas Khatri: 107,722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(i) Ayrton Capital LLC: 0; (ii) Alto Opportunity Master Fund, SPC - Segregated Master Portfolio B: 0; and (iii) Waqas Khatri: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i) Ayrton Capital LLC:107,722; Alto Opportunity Master Fund, SPC - Segregated Master Portfolio B: 107,722; Waqas Khatri: 107,722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(i) Ayrton Capital LLC: 0; (ii) Alto Opportunity Master Fund, SPC - Segregated Master Portfolio B: 0; (iii) Waqas Khatri: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5.</w:t>
            </w:r>
          </w:p>
        </w:tc>
        <w:tc>
          <w:tcPr>
            <w:tcW w:w="890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6.</w:t>
            </w:r>
          </w:p>
        </w:tc>
        <w:tc>
          <w:tcPr>
            <w:tcW w:w="890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7.</w:t>
            </w:r>
          </w:p>
        </w:tc>
        <w:tc>
          <w:tcPr>
            <w:tcW w:w="890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8.</w:t>
            </w:r>
          </w:p>
        </w:tc>
        <w:tc>
          <w:tcPr>
            <w:tcW w:w="890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9.</w:t>
            </w:r>
          </w:p>
        </w:tc>
        <w:tc>
          <w:tcPr>
            <w:tcW w:w="890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444" w:type="dxa"/>
        <w:jc w:val="left"/>
        <w:tblInd w:w="0" w:type="dxa"/>
        <w:tblLayout w:type="fixed"/>
        <w:tblCellMar>
          <w:top w:w="28" w:type="dxa"/>
          <w:left w:w="28" w:type="dxa"/>
          <w:bottom w:w="28" w:type="dxa"/>
          <w:right w:w="28" w:type="dxa"/>
        </w:tblCellMar>
      </w:tblPr>
      <w:tblGrid>
        <w:gridCol w:w="2222"/>
        <w:gridCol w:w="2222"/>
      </w:tblGrid>
      <w:tr>
        <w:trPr/>
        <w:tc>
          <w:tcPr>
            <w:tcW w:w="2222" w:type="dxa"/>
            <w:tcBorders/>
            <w:vAlign w:val="center"/>
          </w:tcPr>
          <w:p>
            <w:pPr>
              <w:pStyle w:val="TableContents"/>
              <w:bidi w:val="0"/>
              <w:spacing w:before="0" w:after="0"/>
              <w:jc w:val="left"/>
              <w:rPr/>
            </w:pPr>
            <w:r>
              <w:rPr/>
              <w:t> </w:t>
            </w:r>
          </w:p>
          <w:tbl>
            <w:tblPr>
              <w:tblW w:w="2101" w:type="dxa"/>
              <w:jc w:val="left"/>
              <w:tblInd w:w="0" w:type="dxa"/>
              <w:tblLayout w:type="fixed"/>
              <w:tblCellMar>
                <w:top w:w="28" w:type="dxa"/>
                <w:left w:w="28" w:type="dxa"/>
                <w:bottom w:w="28" w:type="dxa"/>
                <w:right w:w="28" w:type="dxa"/>
              </w:tblCellMar>
            </w:tblPr>
            <w:tblGrid>
              <w:gridCol w:w="2101"/>
            </w:tblGrid>
            <w:tr>
              <w:trPr/>
              <w:tc>
                <w:tcPr>
                  <w:tcW w:w="2101" w:type="dxa"/>
                  <w:tcBorders/>
                  <w:vAlign w:val="center"/>
                </w:tcPr>
                <w:p>
                  <w:pPr>
                    <w:pStyle w:val="TableContents"/>
                    <w:bidi w:val="0"/>
                    <w:spacing w:before="0" w:after="0"/>
                    <w:jc w:val="left"/>
                    <w:rPr/>
                  </w:pPr>
                  <w:r>
                    <w:rPr/>
                    <w:t>Ayrton Capital LLC</w:t>
                  </w:r>
                </w:p>
              </w:tc>
            </w:tr>
          </w:tbl>
          <w:p>
            <w:pPr>
              <w:pStyle w:val="TableContents"/>
              <w:bidi w:val="0"/>
              <w:spacing w:before="0" w:after="283"/>
              <w:jc w:val="left"/>
              <w:rPr/>
            </w:pPr>
            <w:r>
              <w:rPr/>
            </w:r>
          </w:p>
        </w:tc>
        <w:tc>
          <w:tcPr>
            <w:tcW w:w="222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3"/>
        <w:gridCol w:w="4292"/>
      </w:tblGrid>
      <w:tr>
        <w:trPr/>
        <w:tc>
          <w:tcPr>
            <w:tcW w:w="591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Waqas Khatri</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Waqas Khatri / Managing Member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285"/>
        <w:gridCol w:w="4920"/>
      </w:tblGrid>
      <w:tr>
        <w:trPr/>
        <w:tc>
          <w:tcPr>
            <w:tcW w:w="5285" w:type="dxa"/>
            <w:tcBorders/>
            <w:vAlign w:val="center"/>
          </w:tcPr>
          <w:p>
            <w:pPr>
              <w:pStyle w:val="TableContents"/>
              <w:bidi w:val="0"/>
              <w:spacing w:before="0" w:after="0"/>
              <w:jc w:val="left"/>
              <w:rPr/>
            </w:pPr>
            <w:r>
              <w:rPr/>
              <w:t> </w:t>
            </w:r>
          </w:p>
          <w:tbl>
            <w:tblPr>
              <w:tblW w:w="6676" w:type="dxa"/>
              <w:jc w:val="left"/>
              <w:tblInd w:w="0" w:type="dxa"/>
              <w:tblLayout w:type="fixed"/>
              <w:tblCellMar>
                <w:top w:w="28" w:type="dxa"/>
                <w:left w:w="28" w:type="dxa"/>
                <w:bottom w:w="28" w:type="dxa"/>
                <w:right w:w="28" w:type="dxa"/>
              </w:tblCellMar>
            </w:tblPr>
            <w:tblGrid>
              <w:gridCol w:w="6676"/>
            </w:tblGrid>
            <w:tr>
              <w:trPr/>
              <w:tc>
                <w:tcPr>
                  <w:tcW w:w="6676" w:type="dxa"/>
                  <w:tcBorders/>
                  <w:vAlign w:val="center"/>
                </w:tcPr>
                <w:p>
                  <w:pPr>
                    <w:pStyle w:val="TableContents"/>
                    <w:bidi w:val="0"/>
                    <w:spacing w:before="0" w:after="0"/>
                    <w:jc w:val="left"/>
                    <w:rPr/>
                  </w:pPr>
                  <w:r>
                    <w:rPr/>
                    <w:t>Alto Opportunity Master Fund, SPC - Segregated Master Portfolio B</w:t>
                  </w:r>
                </w:p>
              </w:tc>
            </w:tr>
          </w:tbl>
          <w:p>
            <w:pPr>
              <w:pStyle w:val="TableContents"/>
              <w:bidi w:val="0"/>
              <w:spacing w:before="0" w:after="283"/>
              <w:jc w:val="left"/>
              <w:rPr/>
            </w:pPr>
            <w:r>
              <w:rPr/>
            </w:r>
          </w:p>
        </w:tc>
        <w:tc>
          <w:tcPr>
            <w:tcW w:w="49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7"/>
        <w:gridCol w:w="4358"/>
      </w:tblGrid>
      <w:tr>
        <w:trPr/>
        <w:tc>
          <w:tcPr>
            <w:tcW w:w="584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Waqas Khatri</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Waqas Khatri / Director</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58" w:type="dxa"/>
            <w:tcBorders/>
            <w:vAlign w:val="center"/>
          </w:tcPr>
          <w:p>
            <w:pPr>
              <w:pStyle w:val="TableContents"/>
              <w:bidi w:val="0"/>
              <w:spacing w:before="0" w:after="283"/>
              <w:jc w:val="left"/>
              <w:rPr>
                <w:sz w:val="4"/>
                <w:szCs w:val="4"/>
              </w:rPr>
            </w:pPr>
            <w:r>
              <w:rPr>
                <w:sz w:val="4"/>
                <w:szCs w:val="4"/>
              </w:rPr>
            </w:r>
          </w:p>
        </w:tc>
      </w:tr>
    </w:tbl>
    <w:tbl>
      <w:tblPr>
        <w:tblW w:w="3196" w:type="dxa"/>
        <w:jc w:val="left"/>
        <w:tblInd w:w="0" w:type="dxa"/>
        <w:tblLayout w:type="fixed"/>
        <w:tblCellMar>
          <w:top w:w="28" w:type="dxa"/>
          <w:left w:w="28" w:type="dxa"/>
          <w:bottom w:w="28" w:type="dxa"/>
          <w:right w:w="28" w:type="dxa"/>
        </w:tblCellMar>
      </w:tblPr>
      <w:tblGrid>
        <w:gridCol w:w="1598"/>
        <w:gridCol w:w="1598"/>
      </w:tblGrid>
      <w:tr>
        <w:trPr/>
        <w:tc>
          <w:tcPr>
            <w:tcW w:w="1598" w:type="dxa"/>
            <w:tcBorders/>
            <w:vAlign w:val="center"/>
          </w:tcPr>
          <w:p>
            <w:pPr>
              <w:pStyle w:val="TableContents"/>
              <w:bidi w:val="0"/>
              <w:spacing w:before="0" w:after="0"/>
              <w:jc w:val="left"/>
              <w:rPr/>
            </w:pPr>
            <w:r>
              <w:rPr/>
              <w:t> </w:t>
            </w:r>
          </w:p>
          <w:tbl>
            <w:tblPr>
              <w:tblW w:w="1471" w:type="dxa"/>
              <w:jc w:val="left"/>
              <w:tblInd w:w="0" w:type="dxa"/>
              <w:tblLayout w:type="fixed"/>
              <w:tblCellMar>
                <w:top w:w="28" w:type="dxa"/>
                <w:left w:w="28" w:type="dxa"/>
                <w:bottom w:w="28" w:type="dxa"/>
                <w:right w:w="28" w:type="dxa"/>
              </w:tblCellMar>
            </w:tblPr>
            <w:tblGrid>
              <w:gridCol w:w="1471"/>
            </w:tblGrid>
            <w:tr>
              <w:trPr/>
              <w:tc>
                <w:tcPr>
                  <w:tcW w:w="1471" w:type="dxa"/>
                  <w:tcBorders/>
                  <w:vAlign w:val="center"/>
                </w:tcPr>
                <w:p>
                  <w:pPr>
                    <w:pStyle w:val="TableContents"/>
                    <w:bidi w:val="0"/>
                    <w:spacing w:before="0" w:after="0"/>
                    <w:jc w:val="left"/>
                    <w:rPr/>
                  </w:pPr>
                  <w:r>
                    <w:rPr/>
                    <w:t>Waqas Khatri</w:t>
                  </w:r>
                </w:p>
              </w:tc>
            </w:tr>
          </w:tbl>
          <w:p>
            <w:pPr>
              <w:pStyle w:val="TableContents"/>
              <w:bidi w:val="0"/>
              <w:spacing w:before="0" w:after="283"/>
              <w:jc w:val="left"/>
              <w:rPr/>
            </w:pPr>
            <w:r>
              <w:rPr/>
            </w:r>
          </w:p>
        </w:tc>
        <w:tc>
          <w:tcPr>
            <w:tcW w:w="159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43"/>
        <w:gridCol w:w="4462"/>
      </w:tblGrid>
      <w:tr>
        <w:trPr/>
        <w:tc>
          <w:tcPr>
            <w:tcW w:w="57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Waqas Khatri</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Waqas Khatri</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46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1399</Words>
  <Characters>7262</Characters>
  <CharactersWithSpaces>8612</CharactersWithSpaces>
  <Paragraphs>252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